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RR.2013.283 vom 22. Januar 2014</w:t>
      </w:r>
    </w:p>
    <w:p>
      <w:r>
        <w:t>Bundesstrafgericht, 2014-01-22, FR</w:t>
      </w:r>
    </w:p>
    <w:p>
      <w:r>
        <w:rPr>
          <w:b/>
        </w:rPr>
        <w:t xml:space="preserve">Quelle: </w:t>
      </w:r>
      <w:r>
        <w:t>https://mcp.opencaselaw.ch/entscheid/bstger_RR.2013.283</w:t>
      </w:r>
    </w:p>
    <w:p>
      <w:r>
        <w:t>FR: TPF RR.2013.283 du 22 janvier 2014</w:t>
      </w:r>
    </w:p>
    <w:p>
      <w:r>
        <w:t>IT: TPF RR.2013.283 del 22 gennaio 2014</w:t>
      </w:r>
    </w:p>
    <w:p>
      <w:pPr>
        <w:pStyle w:val="Heading2"/>
      </w:pPr>
      <w:r>
        <w:t>Regeste</w:t>
      </w:r>
    </w:p>
    <w:p>
      <w:r>
        <w:t>Entraide judiciaire internationale en matière pénale à la Tunisie. Conditions soumises à acceptation (art. 80p EIMP).</w:t>
      </w:r>
    </w:p>
    <w:p>
      <w:pPr>
        <w:pStyle w:val="Heading2"/>
      </w:pPr>
      <w:r>
        <w:t>Erwägungen</w:t>
      </w:r>
    </w:p>
    <w:p>
      <w:r>
        <w:rPr>
          <w:b/>
        </w:rPr>
        <w:t>E. 1</w:t>
      </w:r>
    </w:p>
    <w:p>
      <w:r>
        <w:t>La Suisse n'est liée à la Tunisie par aucun traité d'entraide judiciaire. Aussi est-ce sous le seul angle du droit interne qu'il convient d'examiner le bien- fondé de la requête. C'est donc la loi fédérale sur l'entraide internationale en matière pénale (EIMP; RS 351.1) et son ordonnance d'exécution (OEIMP; RS 351.11) qui trouvent application en l'espèce.</w:t>
      </w:r>
    </w:p>
    <w:p>
      <w:r>
        <w:t>En vertu de l’art. 37 al. 2 let. a de la loi fédérale sur l’organisation des auto- rités pénales de la Confédération (LOAP; RS 173.71), mis en relation avec les art. 25 al. 1 et 80p al. 4 EIMP et 19 al. 1 du règlement sur l’organisation du Tribunal pénal fédéral (ROTPF; RS 173.713.161), la Cour des plaintes du Tribunal pénal fédéral est compétente pour connaître des recours diri- gés contre la décision de l'OFJ constatant que la réponse de l'Etat requé- rant constitue un engagement suffisant au regard des conditions préala- blement fixées. Par ailleurs, le recourant a qualité pour agir (art. 80h let. b EIMP) et le délai pour saisir la présente autorité a été respecté (art. 80p al. 4 EIMP).</w:t>
      </w:r>
    </w:p>
    <w:p>
      <w:r>
        <w:t>Le recours est ainsi recevable en la forme.</w:t>
      </w:r>
    </w:p>
    <w:p>
      <w:r>
        <w:rPr>
          <w:b/>
        </w:rPr>
        <w:t>E. 2</w:t>
      </w:r>
    </w:p>
    <w:p>
      <w:r>
        <w:t>Le recourant conteste le fait que l'engagement donné par les autorités tuni- siennes soit suffisant au regard des conditions posées par la Cour de céans au chiffre 2 du dispositif de l'arrêt du 24 octobre 2012 (v. supra let. C). Ainsi, la personne ayant signé les garanties serait-elle inhabilitée à ce faire (act. 1, p. 7 s.); les garanties fournies ne répondraient pas aux exi- gences de la Cour européenne des droits de l'homme (act. 1, p. 8); il ne se- rait pas possible de "vérifier objectivement le respect des assurances don- nées" et il "n'existe[rait] pas de véritable système de protection" (act. 1, p. 8 s.); tant la présomption d'innocence que la garantie du droit à la prépa- ration de sa défense seraient violées (act. 1, p. 9 s.). Par ailleurs, il serait "médicalement établi que la violation des droits fondamentaux du Recou- rant a[urait] eu de très graves conséquences sur son état de santé et son intégrité corporelle" (act. 8, p. 4).</w:t>
      </w:r>
    </w:p>
    <w:p>
      <w:r>
        <w:rPr>
          <w:b/>
        </w:rPr>
        <w:t>E. 3.1</w:t>
      </w:r>
    </w:p>
    <w:p>
      <w:r>
        <w:t>Dans son arrêt du 24 octobre 2012, la Cour de céans a admis partiellement le recours sous l'angle de l'art. 2 EIMP et soumis l'entraide à des conditions à respecter par les autorités tunisiennes (TPF 2012 144 consid. 5). Lors-</w:t>
      </w:r>
    </w:p>
    <w:p>
      <w:r>
        <w:t>- 6 -</w:t>
      </w:r>
    </w:p>
    <w:p>
      <w:r>
        <w:t>que, comme en l'espèce, les conditions auxquelles est soumis l'octroi de l'entraide sont fixées par le Tribunal pénal fédéral dans le dispositif de son arrêt, le rôle de l'OFJ se limite à communiquer ces exigences aux autorités étrangères, les éclairer sur la procédure et vérifier que les assurances don- nées correspondent à ce qui a été demandé, entièrement et sans ambiguï- té aucune (ATF 131 II 228 consid. 2 et les références citées). La vérifica- tion du caractère suffisant de l'engagement de l'autorité étrangère constitue le seul objet du litige, la procédure de contrôle instituée par l'art. 80p al. 4 EIMP n'ayant pour but ni de remettre en discussion la décision de fond re- lative à l'octroi de l'entraide, ni de permettre de reformuler, compléter ou encore réinterpréter les conditions posées à l'Etat requérant. Ces questions et leur résolution ont en effet déjà fait l'objet d'un examen dans la procédu- re ordinaire d'octroi de l'entraide, et sont par conséquent intangibles (arrêt du Tribunal fédéral 1A.21/2004 du 28 décembre 2004, consid. 2.1 in fine).</w:t>
      </w:r>
    </w:p>
    <w:p>
      <w:r>
        <w:rPr>
          <w:b/>
        </w:rPr>
        <w:t>E. 3.2</w:t>
      </w:r>
    </w:p>
    <w:p>
      <w:r>
        <w:t>Dans la mesure où le recourant se contente pour l'essentiel de discuter la portée effective des garanties obtenues de l'Etat requérant en tentant de remettre l'efficacité de ces dernières en question, et ce alors même que lesdites garanties correspondent au mot près à celles que la Cour a tenues pour nécessaires et suffisantes sous l'angle du respect de l'art. 2 EIMP (TPF 2012 144 consid. 5), il méconnaît manifestement les principes qui viennent d'être rappelés s'agissant du but et de l'objet de la procédure de contrôle instituée par l'art. 80p al. 4 EIMP. Pareil constat conduit à l'irrece- vabilité de la quasi-totalité des griefs invoqués. En définitive, seul l'argu- ment développé en lien avec la personne ayant signé les garanties est susceptible d'être invoqué dans la présente procédure. Il appelle les consi- dérations qui suivent.</w:t>
      </w:r>
    </w:p>
    <w:p>
      <w:r>
        <w:rPr>
          <w:b/>
        </w:rPr>
        <w:t>E. 4.1</w:t>
      </w:r>
    </w:p>
    <w:p>
      <w:r>
        <w:t>La loi ne précise pas de quelle autorité de l'Etat requérant doivent émaner les garanties visées à l'art. 80p EIMP. Si l'autorité suisse peut certes dési- gner de manière expresse l'autorité étrangère appelée à donner les assu- rances requises, pareil cas de figure est exceptionnel, la règle étant bien plutôt qu'aucune condition n'a à être posée quant à la personne appelée à fournir l'engagement exigé de l'Etat requérant (v. ATF 124 II 132). En règle générale, il peut ainsi s'agir du chef de l'Etat ou du gouvernement, du Mi- nistre de la justice ou d'une autorité judiciaire supérieure (v. arrêts du Tri- bunal fédéral 1A.179/2004 du 24 septembre 2004 et 1A.214/2004 du 28 décembre 2004). Pour le surplus, la jurisprudence constante considère qu'en présence de pouvoirs apparents de représentation, la question de savoir quelle est l'autorité compétente pour donner les garanties requises</w:t>
      </w:r>
    </w:p>
    <w:p>
      <w:r>
        <w:t>- 7 -</w:t>
      </w:r>
    </w:p>
    <w:p>
      <w:r>
        <w:t>doit être résolue selon le droit interne de l'Etat requérant; l'examen de cette question échappe à l'autorité suisse (arrêts du Tribunal fédéral 1A.237/2005 du 20 septembre 2005, consid. 2.1 et 1A.214/2004 précité, consid. 2.3.2).</w:t>
      </w:r>
    </w:p>
    <w:p>
      <w:r>
        <w:rPr>
          <w:b/>
        </w:rPr>
        <w:t>E. 4.2</w:t>
      </w:r>
    </w:p>
    <w:p>
      <w:r>
        <w:t>En l'occurrence, la Cour n'a, dans son arrêt du 24 octobre 2012, fixé aucu- ne condition quant à la personne appelée à fournir les engagements exi- gés. Ces derniers ont en l'espèce été donnés par le Ministre de la justice tunisien, lequel indique représenter le gouvernement de la République tuni- sienne (act. 6.3). En pareil cas, et à la lumière de la jurisprudence rappelée plus haut, il n'y a pas de raison de douter qu'un tel représentant de l'Etat requérant soit habilité à engager le pouvoir exécutif de manière à empê- cher, le cas échéant, toute exécution, en donnant à cette fin les ordres né- cessaires à la force publique (arrêt 1A.237 précité, consid. 2.2). A cet égard et sur ce vu, le fait que les garanties initialement adressées par le Ministre l'aient d'abord été en représentation de "la République Tunisienne" (act. 6.3), pour l'être ensuite en représentation du "gouvernement de la Ré- publique Tunisienne" n'est d'aucun secours au recourant (v. arrêt 1A.237 précité, spéc. consid. 2.1 et 2.2). Mal fondé, le grief doit être rejeté.</w:t>
      </w:r>
    </w:p>
    <w:p>
      <w:r>
        <w:rPr>
          <w:b/>
        </w:rPr>
        <w:t>E. 5</w:t>
      </w:r>
    </w:p>
    <w:p>
      <w:r>
        <w:t>Le recours doit ainsi être rejeté dans la mesure de sa recevabilité, aux frais de son auteur.</w:t>
      </w:r>
    </w:p>
    <w:p>
      <w:r>
        <w:rPr>
          <w:b/>
        </w:rPr>
        <w:t>E. 6</w:t>
      </w:r>
    </w:p>
    <w:p>
      <w:r>
        <w:t>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 lerie (art. 73 al. 2 LOAP). Le recourant supportera ainsi les frais du présent arrêt, lesquels sont fixés à CHF 4'000.-- (art. 73 al. 2 LOAP et art. 8 al. 3 du règlement du Tribunal pénal fédéral sur les frais, émoluments, dépens, et indemnités de la procédure pénale fédérale du 31 août 2010 [RFPPF; RS 173.713.162] et art. 63 al. 5 PA), couverts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