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RR.2013.274 vom 14. Januar 2014</w:t>
      </w:r>
    </w:p>
    <w:p>
      <w:r>
        <w:t>Bundesstrafgericht, 2014-01-14, FR</w:t>
      </w:r>
    </w:p>
    <w:p>
      <w:r>
        <w:rPr>
          <w:b/>
        </w:rPr>
        <w:t xml:space="preserve">Quelle: </w:t>
      </w:r>
      <w:r>
        <w:t>https://mcp.opencaselaw.ch/entscheid/bstger_RR.2013.274</w:t>
      </w:r>
    </w:p>
    <w:p>
      <w:r>
        <w:t>FR: TPF RR.2013.274 du 14 janvier 2014</w:t>
      </w:r>
    </w:p>
    <w:p>
      <w:r>
        <w:t>IT: TPF RR.2013.274 del 14 gennaio 2014</w:t>
      </w:r>
    </w:p>
    <w:p>
      <w:pPr>
        <w:pStyle w:val="Heading2"/>
      </w:pPr>
      <w:r>
        <w:t>Regeste</w:t>
      </w:r>
    </w:p>
    <w:p>
      <w:r>
        <w:t>Entraide judiciaire internationale en matière pénale à la France. Exécution simplifiée (art. 80c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 latéral complétant cette convention (RS 0.351.934.92).</w:t>
      </w:r>
    </w:p>
    <w:p>
      <w:r>
        <w:rPr>
          <w:b/>
        </w:rPr>
        <w:t>E. 1.1</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Peut également s'appliquer en l'occurrence la Con- vention européenne relative au blanchiment, au dépistage, à la saisie et à la confiscation des produits du crime (CBl; RS 0.311.53).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137 IV 33 consid. 2.2.2 et les références ci- tées). Le principe du droit le plus favorable à l’entraide s’applique aussi</w:t>
      </w:r>
    </w:p>
    <w:p>
      <w:r>
        <w:t>- 5 -</w:t>
      </w:r>
    </w:p>
    <w:p>
      <w:r>
        <w:t>pour ce qui concerne le rapport entre elles des normes internationales per- tinentes (v. art. 48 par. 2 CAAS; art. 39 CBl). L’application de la norme la plus favorable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EIMP et 19 al. 1 du règlement sur l’organisation du Tribunal pénal fédéral (ROTPF; RS 173.713.161), la Cour des plaintes du Tribunal pénal fédéral est compétente pour statuer sur les recours en matière d’entraide pénale internationale.</w:t>
      </w:r>
    </w:p>
    <w:p>
      <w:r>
        <w:rPr>
          <w:b/>
        </w:rPr>
        <w:t>E. 2</w:t>
      </w:r>
    </w:p>
    <w:p>
      <w:r>
        <w:t>Le Tribunal pénal fédéral examine d’office et librement la recevabilité des recours qui lui sont soumis (TPF 2008 7 consid. 1.2).</w:t>
      </w:r>
    </w:p>
    <w:p>
      <w:r>
        <w:rPr>
          <w:b/>
        </w:rPr>
        <w:t>E. 2.1</w:t>
      </w:r>
    </w:p>
    <w:p>
      <w:r>
        <w:t>A teneur de l’art. 80c EIMP, les ayants droit, notamment les détenteurs de documents, de renseignements ou de valeurs peuvent en accepter la re- mise jusqu’à la clôture de la procédure (al. 1). Si tous les ayants droit don- nent leur consentement, l’autorité compétente constate l’accord par écrit et clôt la procédure (al. 2). Cette clôture n'a pas à être motivée, mais elle doit mentionner l'accord des ayants droit (arrêt du Tribunal pénal fédéral RR.2007.107 du 12 juillet 2007; Message du Conseil fédéral du 29 mars 1995 concernant la révision de la loi fédérale sur l'entraide internationale en matière pénale, FF 1995 III 1 ss [ci-après: Message], p. 29). Le consente- ment à l’exécution simplifiée de la procédure d’entraide est irrévocable (art. 80c al. 1 EIMP) et la décision de clôture qui entérine la remise simpli- fiée n’est en principe pas sujette à recours (v. Message, p. 29; ZIMMER- MANN, La coopération judiciaire internationale en matière pénale, 3e éd., Berne 2009, no 419). Faisant application par analogie des art. 23 ss CO, le Tribunal fédéral a toutefois admis que l’erreur pouvait être invoquée par le destinataire d’une décision contestée (arrêt du Tribunal fédéral 1A.64/2005 du 25 mai 2005, consid. 2.3.1). L’absence de consentement pour cause d’erreur est un moyen qui ne saurait être admis que de manière restrictive; la question de l’imputabilité de l’erreur invoquée s’apprécie à la lumière de l’ensemble des circonstances, en déterminant en particulier si l’autorité a provoqué l’erreur ou si elle a agi en violation du principe de la bonne foi (v. arrêt du Tribunal pénal fédéral RR.2007.107 du 12 juillet 2007).</w:t>
      </w:r>
    </w:p>
    <w:p>
      <w:r>
        <w:rPr>
          <w:b/>
        </w:rPr>
        <w:t>E. 2.2</w:t>
      </w:r>
    </w:p>
    <w:p>
      <w:r>
        <w:t>A l'appui de sa démarche devant l'autorité de céans, la recourante invoque le fait qu'elle n'aurait "pas donné son consentement à l'exécution de la pro- cédure simplifiée", à tout le moins que "[s]a réponse n'a[urait] pas été don-</w:t>
      </w:r>
    </w:p>
    <w:p>
      <w:r>
        <w:t>- 6 -</w:t>
      </w:r>
    </w:p>
    <w:p>
      <w:r>
        <w:t>née en toute connaissance de cause", ce que "l'autorité intimée devait comprendre des circonstances" (act. 1, p. 4 s.). La recourante argue à cet égard que: "- elle avait pris des somnifères la veille de son audition; - elle était visée par une perquisition ayant débuté à 6h40 du matin; - l'audition intervenait dans la foulée de la perquisition; - l'audition a débuté à 12h35, soit à l'heure du repas; - elle ne connaissait pas le conseil qui lui a été désigné; - le conseil désigné ne connaissait pas l'affaire faisant l'objet de l'entraide; - elle a été interpellée sur l'exécution simplifiée après 4 heures d'audition; - elle n'a pas pu s'entretenir avec son conseil avant de répondre à la question; - lorsque les enquêteurs ont demandé à la recourante si elle avait compris la por- tée de son consentement, celle-ci a immédiatement évoqué le fait que les affai- res ne lui appartenaient pas".</w:t>
      </w:r>
    </w:p>
    <w:p>
      <w:r>
        <w:rPr>
          <w:b/>
        </w:rPr>
        <w:t>E. 2.3</w:t>
      </w:r>
    </w:p>
    <w:p>
      <w:r>
        <w:t>N'en déplaise à la recourante, les éléments ci-invoqués ne permettent au- cunement de retenir que le consentement de cette dernière portant sur la transmission simplifiée de la documentation saisie à son domicile eût été entaché d'une quelconque erreur. En effet, le fait que la recourante ait été interrogée dans le prolongement d'une perquisition intervenue tôt le matin à son domicile ne fait que s'inscrire dans le cours ordinaire d'un tel acte d'en- quête. A aucun moment, il n'a été fait état d'une fatigue qui aurait pu entra- ver son discernement à l'heure de donner son consentement. Tel eût été le cas, on ne voit au demeurant pas qu'elle aurait été empêchée de demander une interruption d'audience pour mûrir sa réflexion. Rien n'indique que l'au- torité s'y serait opposée, bien au contraire si l'on sait qu'une pause avait été octroyée entre 14h00 et 14h20 à la demande même du conseil de la recou- rante. Ne pas connaître son avocat lorsque celui-ci est désigné d'office va de soi, et on cherche en vain ce que la recourante tente de déduire d'une telle allégation. Quant à l'affirmation selon laquelle ledit conseil "ne con- naissait pas l'affaire faisant l'objet de l'entraide", elle est bien trop vague pour qu'on décèle une quelconque violation des garanties procédurales dont la recourante se prétend la victime. Enfin, cette dernière méconnaît la jurisprudence relative à la qualité pour recourir, lorsqu'elle se prévaut – en vain et à tort – du fait que les affaires saisies à son domicile ne lui apparte- naient pas personnellement (v. TPF 2007 136 consid. 3.1).</w:t>
      </w:r>
    </w:p>
    <w:p>
      <w:r>
        <w:rPr>
          <w:b/>
        </w:rPr>
        <w:t>E. 2.4</w:t>
      </w:r>
    </w:p>
    <w:p>
      <w:r>
        <w:t>Partant, et en l’absence de tout élément propre à fonder la présomption que le MP-VD, ou quelque autre autorité, aurait pu induire la recourante en</w:t>
      </w:r>
    </w:p>
    <w:p>
      <w:r>
        <w:t>- 7 -</w:t>
      </w:r>
    </w:p>
    <w:p>
      <w:r>
        <w:t>erreur ou même y contribuer, et au vu des principes et circonstances expo- sés ci-dessus (v. supra consid. 2.1 à 2.3), force est de constater que le consentement donné par la recourante au terme de son audition du 27 juin 2013 l'a été valablement. La question de savoir si pareil constat doit con- duire au prononcé d'irrecevabilité (v. arrêt du Tribunal fédéral 1A.64/2005 du 25 mai 2005, consid. 2, spéc. 2.5; arrêt du Tribunal pénal fédéral RR.2011.164 du 21 décembre 2011, consid. 3.7) ou au rejet (v. TPF 2007 136 consid. 4 in fine) du recours souffre de demeurer indécise.</w:t>
      </w:r>
    </w:p>
    <w:p>
      <w:r>
        <w:rPr>
          <w:b/>
        </w:rPr>
        <w:t>E. 3</w:t>
      </w:r>
    </w:p>
    <w:p>
      <w:r>
        <w:t>La recourante demande l'assistance judiciaire. Selon l'art. 65 al. 1 PA, cel- le-ci est accordée à la partie dont les conclusions ne sont pas vouées à l'échec. Tel n'est pas le cas en l'espèce. L'unique motif fourni à l'appui du recours s'est en effet avéré manifestement infondé eu égard aux principes légaux et jurisprudentiels applicables en la matière. L'assistance judiciaire doit partant être refusée.</w:t>
      </w:r>
    </w:p>
    <w:p>
      <w:r>
        <w:rPr>
          <w:b/>
        </w:rPr>
        <w:t>E. 4</w:t>
      </w:r>
    </w:p>
    <w:p>
      <w:r>
        <w:t>Les frais de procédure sont mis à la charge du recourant qui succombe (art. 63 al. 1 PA). L'émolument judiciaire, calculé conformément à l'art. 5 du règlement du 31 août 2010 sur les frais, émoluments, dépens et indemnités de la procédure pénale fédérale (RFPPF; RS 173.713.162; v. art. 63 al. 5 PA) sera fixé, compte tenu de la situation financière de la recourante, à CHF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