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RR.2013.268 vom 27. März 2014</w:t>
      </w:r>
    </w:p>
    <w:p>
      <w:r>
        <w:t>Bundesstrafgericht, 2014-03-27, DE</w:t>
      </w:r>
    </w:p>
    <w:p>
      <w:r>
        <w:rPr>
          <w:b/>
        </w:rPr>
        <w:t xml:space="preserve">Quelle: </w:t>
      </w:r>
      <w:r>
        <w:t>https://mcp.opencaselaw.ch/entscheid/bstger_RR.2013.268</w:t>
      </w:r>
    </w:p>
    <w:p>
      <w:r>
        <w:t>FR: TPF RR.2013.268 du 27 mars 2014</w:t>
      </w:r>
    </w:p>
    <w:p>
      <w:r>
        <w:t>IT: TPF RR.2013.268 del 27 marzo 2014</w:t>
      </w:r>
    </w:p>
    <w:p>
      <w:pPr>
        <w:pStyle w:val="Heading2"/>
      </w:pPr>
      <w:r>
        <w:t>Regeste</w:t>
      </w:r>
    </w:p>
    <w:p>
      <w:r>
        <w:t>Internationale Rechtshilfe in Strafsachen an Chile. Dauer der Beschlagnahme (Art. 33a IRSV). Rechtsverweigerung (Art. 46a VwVG).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den Beschwerdeführern bilde das Anfechtungsobjekt der Be- schwerde die Untätigkeit der Staatsanwaltschaft Zürich sowie ihre Weige- rung, die Sperre aufzuheben (act. 1 S. 4 lit. A.1.).</w:t>
      </w:r>
    </w:p>
    <w:p>
      <w:r>
        <w:rPr>
          <w:b/>
        </w:rPr>
        <w:t>E. 1.2</w:t>
      </w:r>
    </w:p>
    <w:p>
      <w:r>
        <w:t>Kontoinhaber können bei der Behörde, welche eine Vermögenssperre an- geordnet hat, ihre Aufhebung beantragen (BGE 129 II 449 E. 2.3/2.5; TPF 2011 174 E. 2.2.1; TPF 2007 124 E. 2.3; Entscheid des Bundesstraf- gerichts RR.2012.242 vom 4. Dezember 2012, E. 2.2). Die Beschwerdeführer stellten am 18. Mai/15. November 2012 ein Gesuch an die Beschwerdegegnerin um Aufhebung der Kontosperre (act. 1.2 und 1.3); eine (anfechtbare) Verfügung sei daraufhin nicht ergangen (act. 1 S. 4). Ohne Verfügung fehlt aber der Beschwerde bezüglich der beantrag- ten Aufhebung der Kontosperre das Anfechtungsobjekt. Die Beschwerde- kammer kann erstinstanzlich nicht darüber entscheiden. Diesbezüglich kann auf die Beschwerde nicht eingetreten werden.</w:t>
      </w:r>
    </w:p>
    <w:p>
      <w:r>
        <w:rPr>
          <w:b/>
        </w:rPr>
        <w:t>E. 1.3</w:t>
      </w:r>
    </w:p>
    <w:p>
      <w:r>
        <w:t>Gegen das unrechtmässige Verweigern oder Verzögern einer Verfügung (Art. 17a Abs. 3 IRSG; Art. 46a VwVG) kann jederzeit Beschwerde geführt werden (Art. 50 Abs. 2 VwVG). Eine vorgängige eigentliche Mahnung bildet zwar keine Eintretensvoraussetzung (Entscheid des Bundesstrafgerichts RR.2011.313 vom 11. Mai 2012, E. 3; Urteil des Bundesverwaltungsgerichts D- 6098/2013 vom 6. Dezember 2013, E. 1.3; UHLMANN/WÄLLE-BÄR, in: Waldmann/Weissenberger [Hrsg.], Praxiskommentar VwVG, Zürich 2009, Art. 46a N. 11; KÖLZ/HÄNER/BERTSCHI, Verwaltungsverfahren und Verwal- tungsrechtspflege des Bundes, 3. Aufl., Zürich 2013, N. 1309; MARKUS MÜLLER, in: Auer/Müller/Schindler [Hrsg.], Kommentar VwVG, Zürich 2008, Art. 46a N. 9; wohl auch CANDRIAN, Introduction à la procédure administra- tive fédérale, Basel 2012, § 16 N. 117; die Praxis von BGE 126 V 244 E. 2d [Fristansetzung] wurde in BGE 130 V 90 E. 2 als unter dem ATSG überholt bezeichnet). Doch muss in der Regel zumindest einmal bei der befassten Instanz inter- veniert worden sein, um sie zum gewünschten Handeln aufzufordern (BGE 131 V 407 E. 1.1; Urteil des Bundesgerichts 1B_24/2013 vom 12. Februar 2013, E. 4 [zur StPO]; weitergehend [Mahnung erforderlich]: MOSER/BEUSCH/KNEUBÜHLER, Prozessieren vor dem Bundesverwaltungs- gericht, 2. Auflage, Zürich/Bern 2013, N. 5.20).</w:t>
      </w:r>
    </w:p>
    <w:p>
      <w:r>
        <w:t>- 4 -</w:t>
      </w:r>
    </w:p>
    <w:p>
      <w:r>
        <w:t>Die Beschwerdeführer verlangten am 18. Mai/15. November 2012, die Kon- tosperre sei aufzuheben. Eine eigentliche Mahnung liegt nicht vor, ist aber wie oben dargelegt nicht Eintretensvoraussetzung. Auf die Rechtsverzöge- rungsbeschwerde ist einzutreten.</w:t>
      </w:r>
    </w:p>
    <w:p>
      <w:r>
        <w:rPr>
          <w:b/>
        </w:rPr>
        <w:t>E. 1.4</w:t>
      </w:r>
    </w:p>
    <w:p>
      <w:r>
        <w:t>Die Staatsanwaltschaft I befand bis heute – ohne gute Gründe darlegen zu können – nicht über die genannten Anträge. Dies ist mit dem Gebot zur ra- schen Erledigung und verzugslosen Entscheidung (Art. 17a Abs. 1 IRSG) nicht vereinbar. Es begründet ein unrechtmässiges Verzögern einer Verfü- gung. Insgesamt ist die Rechtsverzögerungsbeschwerde somit gutzuheissen: Die Staatsanwaltschaft I des Kantons Zürich ist anzuweisen (vgl. Art. 61 Abs. 1 VwVG), innert Monatsfrist über die Aufrechterhaltung der Kontosper- re zu entscheiden. Auf die beantragte Aufhebung der Kontosperre durch die Beschwerdekammer kann hingegen mangels Anfechtungsobjekts nicht eingetreten werden.</w:t>
      </w:r>
    </w:p>
    <w:p>
      <w:r>
        <w:rPr>
          <w:b/>
        </w:rPr>
        <w:t>E. 2</w:t>
      </w:r>
    </w:p>
    <w:p>
      <w:r>
        <w:t>Bei diesem Ausgang des Verfahrens obsiegen die Beschwerdeführer hälf- tig. Sie werden damit ebenfalls zur Hälfte kostenpflichtig (Art. 63 Abs. 1 VwVG i.V.m. Art. 12 Abs. 1 IRSG, Art. 39 Abs. 2 lit. b StBOG und Art. 37 Abs. 2 lit. a StBOG).</w:t>
      </w:r>
    </w:p>
    <w:p>
      <w:r>
        <w:t>Für die Berechnung der Gerichtsgebühren gelangt das Reglement des Bundesstrafgerichts vom 31. August 2010 über die Kosten, Gebühren und Entschädigungen in Bundesstrafverfahren (BStKR; SR 173.713.162) zur Anwendung (Art. 63 Abs. 5 VwVG i.V.m. Art. 53 Abs. 2 lit. a StBOG, Art. 73 Abs. 1 lit. a und b StBOG). Es rechtfertigt sich vorliegend, in Anwendung von Art. 73 Abs. 2 StBOG sowie der Art. 5 und 8 Abs. 3 BStKR, die hälftig ermässigte Gebühr auf Fr. 600.-- festzusetzen, unter solidarischer Haftung, und unter Anrechnung des geleisteten Kostenvorschusses (act. 4) von Fr. 10'000.--.</w:t>
      </w:r>
    </w:p>
    <w:p>
      <w:r>
        <w:t>Die Beschwerdeführer haben damit Anspruch auf eine ebenfalls hälftig re- duzierte pauschale Prozessentschädigung von Fr. 800.-- (vgl. Art. 64 Abs. 1 und 2 VwVG; Art. 73 Abs. 1 lit. c StBOG i.V.m. Art. 64 Abs. 5 VwVG, Art. 10–14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