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RR.2013.267 vom 22. Januar 2014</w:t>
      </w:r>
    </w:p>
    <w:p>
      <w:r>
        <w:t>Bundesstrafgericht, 2014-01-22, IT</w:t>
      </w:r>
    </w:p>
    <w:p>
      <w:r>
        <w:rPr>
          <w:b/>
        </w:rPr>
        <w:t xml:space="preserve">Quelle: </w:t>
      </w:r>
      <w:r>
        <w:t>https://mcp.opencaselaw.ch/entscheid/bstger_RR.2013.267</w:t>
      </w:r>
    </w:p>
    <w:p>
      <w:r>
        <w:t>FR: TPF RR.2013.267 du 22 janvier 2014</w:t>
      </w:r>
    </w:p>
    <w:p>
      <w:r>
        <w:t>IT: TPF RR.2013.267 del 22 gennaio 2014</w:t>
      </w:r>
    </w:p>
    <w:p>
      <w:pPr>
        <w:pStyle w:val="Heading2"/>
      </w:pPr>
      <w:r>
        <w:t>Regeste</w:t>
      </w:r>
    </w:p>
    <w:p>
      <w:r>
        <w:t>Assistenza giudiziaria internazionale in materia penale all'Italia/Consegna di mezzi di prova (art. 74 AIMP): principio della proporzionalità.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w:t>
      </w:r>
    </w:p>
    <w:p>
      <w:r>
        <w:t>- 4 -</w:t>
      </w:r>
    </w:p>
    <w:p>
      <w:r>
        <w:t>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In questo ambito occorre rilevare che, non avendo la società ricorrente un domicilio in Svizzera al momento dell'emanazione della decisione impugnata, la notifica di quest'ultima alla banca I. SA non presta fianco a critiche (v. art. 80m AIMP; art. 9 OAIMP). Essendogli la stessa stata susseguentemente trasmessa dalla sua banca, la ricorrente non aveva diritto, sebbene richiesta prima che la decisione di- ventasse esecutiva ai sensi dell'art. 80m cpv. 2 AIMP, ad una nuova notifi- ca formale della medesima (v. sentenza del Tribunale penale federale RR.2008.62 del 30 maggio 2008, consid. 2.1), precisato altresì che la tra- smissione intervenuta il 14 ottobre 2013 di copia di quest'ultima non costi- tuiva, come puntualizzato dall'autorità d'esecuzione, una nuova notifica. La legittimazione della ricorrente, titolare del conto oggetto della criticata misu- ra rogatoriale, è pacifica (v. art. 80h lett. b AIMP e art. 9a lett. a OAIMP; DTF 137 IV 134 consid. 5.2.1; 118 Ib 547 consid. 1d; TPF 2007 79 consid. 1.6).</w:t>
      </w:r>
    </w:p>
    <w:p>
      <w:r>
        <w:rPr>
          <w:b/>
        </w:rPr>
        <w:t>E. 2</w:t>
      </w:r>
    </w:p>
    <w:p>
      <w:r>
        <w:t>La società ricorrente si oppone alla trasmissione di alcuni documenti con- tenuti nel plico della documentazione d'apertura, ritenendo che l'autorità d'esecuzione abbia erroneamente valutato la rilevanza di tali documenti per l'inchiesta estera. Costituita nel gennaio 2004 su richiesta della L. SA, so- cietà fiduciaria con sede a Lugano, e messa a disposizione dei clienti di quest'ultima, essa avrebbe aperto la relazione bancaria oggetto della criti- cata misura nell'ottobre 2004, con beneficiario economico M. Dal luglio 2007 il beneficiario economico sarebbe cambiato, essendo la ricorrente ed il suddetto conto stato messo a disposizione di nuovi clienti, rimasti benefi- ciari economici sino alla chiusura della relazione. Essendo l'autorità rogante interessata ad una singola operazione, ossia il bonifico bancario di USD 300'000 intervenuto il 28 maggio 2008 a favore della H. SA, inutile risulte-</w:t>
      </w:r>
    </w:p>
    <w:p>
      <w:r>
        <w:t>- 5 -</w:t>
      </w:r>
    </w:p>
    <w:p>
      <w:r>
        <w:t>rebbe trasmettere all'estero informazioni riguardanti l'originario beneficiario economico del conto.</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come quello qui in esame, esse necessitano di regola di tutti 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 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 siddetta utilità potenziale, secondo cui la consegna giusta l'art. 74 AIMP è esclusa soltanto per quei mezzi di prova certamente privi di rilevanza per il procedimento penale all'estero (DTF 126 II 258 consid. 9c; 122 II 367 con- sid. 2c; 121 II 241 consid. 3a e b).</w:t>
      </w:r>
    </w:p>
    <w:p>
      <w:r>
        <w:rPr>
          <w:b/>
        </w:rPr>
        <w:t>E. 2.2</w:t>
      </w:r>
    </w:p>
    <w:p>
      <w:r>
        <w:t>Nella fattispecie, l'autorità rogante afferma che le indagini in corso in Italia hanno permesso di evidenziare l'acquisto, nel 2006, da parte di F. S.r.l. di un immobile relativo ad un ex albergo denominato "N." e di alcuni terreni</w:t>
      </w:r>
    </w:p>
    <w:p>
      <w:r>
        <w:t>- 6 -</w:t>
      </w:r>
    </w:p>
    <w:p>
      <w:r>
        <w:t>adiacenti, situati nel comune italiano di Z., in provincia di Torino. Su tale a- rea sarebbero stati realizzati numerosi appartamenti. Come già evidenzia- to, D., amministratore della predetta società responsabile della pianificazio- ne e realizzazione dell'opera edilizia, è indagato nel procedimento estero. Egli è contitolare di due fiduciarie, la H. SA, a San Marino, e la O. SA, a Lugano. Tutta l'operazione immobiliare in parola risulterebbe essere stata finanziata per il 70-80% dalla H. SA. L'analisi della documentazione relativa a quest'ultima società, acquisita mediante rogatoria presso le autorità di San Marino, avrebbe permesso di evidenziare numerose operazioni in ac- credito di numerario proveniente dall'estero, soprattutto dalla Svizzera, in particolare da un conto corrente aperto a Lugano dalla O. SA. Le movimen- tazioni di denaro tra le due fiduciarie H. SA e O. SA sarebbero continue sia in entrata che in uscita sui conti correnti analizzati. Secondo l'autorità ro- gante, tali operazioni non apparirebbero giustificate se non dal fatto che, in tal modo sarebbe possibile occultare, mantenendoli anonimi, i reali finan- ziatori delle operazioni. Essa aggiunge che lo stato degli atti permetterebbe di affermare che i finanziatori delle società anonime, in particolare la O. SA, sarebbero persone o società intenzionate a rimanere nell'anonimato, ver- sando denaro provento di operazioni e traffici illeciti, posti in essere dalle organizzazioni mafiose operanti anche nelle repubbliche dell'ex blocco so- vietico (v. act. 9.1 pag. 4 e seg.). Orbene, avendo la società ricorrente ver- sato un importo di USD 300'000 alla H. SA, società fiduciaria riconducibile ad un indagato, l'utilità potenziale della documentazione concernente il suo conto presso la banca I. SA non può essere esclusa. Questa potrebbe in- fatti aiutare a ricostruire e verificare la provenienza e la destinazione di tale denaro, e di eventuale altro denaro oggetto di operazioni che hanno coin- volto altre persone fisiche e giuridiche implicate nei fatti oggetto delle inda- gini estere, ribadito che la stessa può altresì essere utile per dimostrare l'e- straneità della società ricorrente alle operazioni immobiliari in esame. Alla luce della sopraccitata giurisprudenza (v. consid. 2.1), vista la natura dei reati perseguiti in Italia, tutta la documentazione relativa ai conti della ricor- rente è potenzialmente utile per le indagini, in quanto destinata a permette- re la ricostruzione complessiva di tutti i movimenti di denaro concernenti il finanziamento dell'operazione immobiliare di cui sopra. A tal proposito, oc- corre ricordare che il principio dell'utilità potenziale assume un ruolo crucia- le nell'applicazione del principio della proporzionalità nell'ambito dell'assi- 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perseguiti nello Stato rogante</w:t>
      </w:r>
    </w:p>
    <w:p>
      <w:r>
        <w:t>- 7 -</w:t>
      </w:r>
    </w:p>
    <w:p>
      <w:r>
        <w:t>(sentenze del Tribunale penale federale RR.2010.173 del 13 del 13 ottobre 2010, consid. 4.2.4/a e RR.2009.320 del 2 febbraio 2010, consid. 4.1; ROBERT ZIMMERMANN, La coopération judiciaire internationale en matière pénale, 3a ediz., Berna 2009, n. 722, p. 673 e seg.).</w:t>
      </w:r>
    </w:p>
    <w:p>
      <w:r>
        <w:t>Quanto precede permette di confermare la sufficiente relazione tra le misu- re d'assistenza richieste e l'oggetto del procedimento penale estero, spet- tando comunque al giudice estero del merito valutare se dalla documenta- zione sequestrata emerge in concreto una connessione penalmente rile- vante fra i fatti perseguiti all'estero e la relazione bancaria della ricorrente. Vi è quindi da concludere che la domanda di assistenza estera non viola il principio della proporzionalità.</w:t>
      </w:r>
    </w:p>
    <w:p>
      <w:r>
        <w:rPr>
          <w:b/>
        </w:rPr>
        <w:t>E. 3</w:t>
      </w:r>
    </w:p>
    <w:p>
      <w:r>
        <w:t>Visto quanto precede, la decisione impugnata va integralmente confermata ed il gravame respinto. Le spese seguono la soccombenza (v. art. 63 cpv. 1 della legge federale sulla procedura amministrativa del 20 dicembre 1968 [PA; RS 172.021] richiamato l’art. 39 cpv. 2 lett. b LOAP). La tassa di giu- 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