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RR.2013.250 vom 26. November 2013</w:t>
      </w:r>
    </w:p>
    <w:p>
      <w:r>
        <w:t>Bundesstrafgericht, 2013-11-26, DE</w:t>
      </w:r>
    </w:p>
    <w:p>
      <w:r>
        <w:rPr>
          <w:b/>
        </w:rPr>
        <w:t xml:space="preserve">Quelle: </w:t>
      </w:r>
      <w:r>
        <w:t>https://mcp.opencaselaw.ch/entscheid/bstger_RR.2013.250</w:t>
      </w:r>
    </w:p>
    <w:p>
      <w:r>
        <w:t>FR: TPF RR.2013.250 du 26 novembre 2013</w:t>
      </w:r>
    </w:p>
    <w:p>
      <w:r>
        <w:t>IT: TPF RR.2013.250 del 26 novembre 2013</w:t>
      </w:r>
    </w:p>
    <w:p>
      <w:pPr>
        <w:pStyle w:val="Heading2"/>
      </w:pPr>
      <w:r>
        <w:t>Regeste</w:t>
      </w:r>
    </w:p>
    <w:p>
      <w:r>
        <w:t>Internationale Rechtshilfe in Strafsachen an Israel. Herausgabe von Beweismitteln (Art. 74 IRSG).</w:t>
      </w:r>
    </w:p>
    <w:p>
      <w:pPr>
        <w:pStyle w:val="Heading2"/>
      </w:pPr>
      <w:r>
        <w:t>Erwägungen</w:t>
      </w:r>
    </w:p>
    <w:p>
      <w:r>
        <w:rPr>
          <w:b/>
        </w:rPr>
        <w:t>E. 1.1</w:t>
      </w:r>
    </w:p>
    <w:p>
      <w:r>
        <w:t>Für die Rechtshilfe zwischen Israel und der Schweiz sind in erster Linie massgebend das Europäische Übereinkommen vom 20. April 1959 über die Rechtshilfe in Strafsachen (EUeR; SR 0.351.1) sowie das zu diesem Übereinkommen am 8. November 2001 ergangene zweite Zusatzprotokoll (2. ZP; SR 0.351.12; ZIMMERMANN, La coopération judiciaire internationale en matière pénale, 3. Aufl., Brüssel/Bern 2009, N. 18–21).</w:t>
      </w:r>
    </w:p>
    <w:p>
      <w:r>
        <w:rPr>
          <w:b/>
        </w:rPr>
        <w:t>E. 1.2</w:t>
      </w:r>
    </w:p>
    <w:p>
      <w:r>
        <w:t>Soweit diese Staatsverträge bestimmte Fragen weder ausdrücklich noch stillschweigend regeln, bzw. das schweizerische Landesrecht geringere An- forderungen an die Rechtshilfe stellt (sog. Günstigkeitsprinzip; BGE 137 IV 33 E. 2.2.2; 136 IV 82 E. 3.1; 135 IV 212 E. 2.3; 129 II 462 E. 1.1; ZIMMER- MANN, a.a.O., N. 229), ist das Bundesgesetz vom 20. März 1981 über inter- nationale Rechtshilfe in Strafsachen (IRSG; SR 351.1) und die dazugehöri- ge Verordnung vom 24. Februar 1982 (IRSV; SR 351.11) anwendbar (Art. 1 Abs. 1 IRSG; BGE 136 IV 82 E. 3.1; 130 II 337 E. 1). Vorbehalten bleibt die Wahrung der Menschenrechte (BGE 135 IV 212 E. 2.3; 123 II 595 E. 7c; ZIMMERMANN, a.a.O., N. 211 ff., 223 ff., 680 ff.).</w:t>
      </w:r>
    </w:p>
    <w:p>
      <w:r>
        <w:t>Auf Beschwerdeverfahren in internationalen Rechtshilfeangelegenheiten sind darüber hinaus die Bestimmungen des Bundesgesetzes vom 20. Dezember 1968 über das Verwaltungsverfahren (Verwaltungsverfah- rensgesetz, VwVG; SR 172.021) anwendbar (Art. 39 Abs. 2 lit. b des Bun- desgesetzes vom 19. März 2010 über die Organisation der Strafbehörden des Bundes [Strafbehördenorganisationsgesetz, StBOG; SR 173.71]; ZIM- MERMANN, a.a.O., N. 275).</w:t>
      </w:r>
    </w:p>
    <w:p>
      <w:r>
        <w:rPr>
          <w:b/>
        </w:rPr>
        <w:t>E. 2.1</w:t>
      </w:r>
    </w:p>
    <w:p>
      <w:r>
        <w:t>Zur Beschwerde ist berechtigt, wer persönlich und direkt von einer Rechts- hilfemassnahme betroffen ist und ein schutzwürdiges Interesse an deren Aufhebung oder Änderung hat (Art. 80h lit. b IRSG). Personen, gegen die sich das ausländische Strafverfahren richtet, sind unter denselben Bedin- gungen beschwerdelegitimiert (Art. 21 Abs. 3 IRSG). Ein schutzwürdiges Interesse liegt nicht schon dann vor, wenn jemand irgendeine Beziehung zum Streitobjekt zu haben behauptet. Vielmehr muss eine vom einschlägi- gen Bundesrecht erfasste "spezifische Beziehungsnähe" dargetan sein. Eine bloss mittelbare Betroffenheit genügt hingegen nicht (BGE 137 IV 134 E. 5 mit Übersicht über die Rechtsprechung). Nach Art. 9a lit. b IRSV ist bei der Erhebung von Kontoinformationen der Kontoinhaber</w:t>
      </w:r>
    </w:p>
    <w:p>
      <w:r>
        <w:t>- 6 -</w:t>
      </w:r>
    </w:p>
    <w:p>
      <w:r>
        <w:t>zur Beschwerde legitimiert (zum Ganzen die Urteile des Bundesge- richts 2C_269/2013 vom</w:t>
      </w:r>
    </w:p>
    <w:p>
      <w:r>
        <w:rPr>
          <w:b/>
        </w:rPr>
        <w:t>E. 2.2</w:t>
      </w:r>
    </w:p>
    <w:p>
      <w:r>
        <w:t>Als Inhaberin des Kontos ist die Legitimation der Beschwerdeführerin ge- geben. Auf die auch fristgereicht eingereichte Beschwerde (vgl. obige Er- wägungen C–E) ist einzutreten.</w:t>
      </w:r>
    </w:p>
    <w:p>
      <w:r>
        <w:t>3.</w:t>
      </w:r>
    </w:p>
    <w:p>
      <w:r>
        <w:t>3.1 Die Beschwerdeführerin wendet ein, das Rechtshilfeersuchen sei zwar durch den Director of the Department of International Affairs of the Ministry of Justice gestellt worden, dieser sei aber nicht Verfahrensleiter der Unter- suchung, sondern nur ein Mittler. Es liege nur eine polizeiliche Untersu- chung vor. Nirgends sei erwähnt, dass eine Justizbehörde involviert sei, wie dies Art. 1 EUeR vorsehe. Ebensowenig sei erwähnt, dass das Verfah- ren allenfalls in einem Strafurteil enden könne. Dies verstosse auch gegen Art. 1 Abs. 3 IRSG. Damit fehle eine materielle Voraussetzung der Rechts- hilfe, weshalb die Schlussverfügung aufzuheben sei (act. 1 S. 7–9). 3.2 Nach Art. 24 EUeR kann jede Vertragspartei durch Erklärung die Behörden bezeichnen, die sie als Justizbehörden betrachtet (dazu BGE 133 IV 40 E. 3.1). Israel hat zum EUeR und zum 2. ZP die Erklärungen abgegeben, dass der Director of the Department of International Affairs of the Ministry of Justice eine Justizbehörde ist. Da die Schweiz als Signatarstaat des EUeR dazu keinen Vorbehalt angebracht hat, ist diese Deklaration für sie verbindlich (vgl. das Urteil des Bundesgerichts 1A.145/2005 vom 20. Oktober 2005, E. 2.5/2.6; Entscheid des Bundesstrafge- richts RR.2012.232 vom 25. Juni 2013, E. 6.3/6.4). Damit ist grundsätzlich Rechtshilfe in Strafsachen möglich. 3.3 Weder ist erforderlich, dass alle Verfahrenshandlungen von Justizbehörden selbst vorgenommen werden – was ja auch in der Schweiz nicht der Fall ist (beispielsweise Verwaltungsbehörden nach VStrR) – noch muss für die Leistung von Rechtshilfe mehr als ein ausländisches Vorverfahren eröffnet sein (vgl. BGE 133 IV 40 E. 3.2; 132 II 178 E. 2.2; 113 Ib 257 E. 5a). Art. 1 Abs. 1 und Art. 14 EUeR fordern keine Erklärung, dass im ausländischen Verfahren der Richter angerufen werden könne, was die Schweiz bindet. So bleibt vorliegend kein Raum für eine nähere Prüfung von Art. 1 Abs. 3 IRSG (der nach der zitierten Rechtsprechung in Verbindung mit Art. 11 Abs. 1 IRSG anzuwenden wäre).</w:t>
      </w:r>
    </w:p>
    <w:p>
      <w:r>
        <w:t>- 7 -</w:t>
      </w:r>
    </w:p>
    <w:p>
      <w:r>
        <w:t>Ohnehin prüft das Rechtshilfegericht lediglich, ob Rechtshilfehindernisse bestehen, wofür sich keine eingehende Untersuchung der ausländischen Behördenorganisation oder ihrer Rechtsakte aufdrängt (vgl. BGE 126 II 212 E. 6c/bb; 113 Ib 157 E. 3; Urteil des Bundesgerichts 1A.3/2008 vom</w:t>
      </w:r>
    </w:p>
    <w:p>
      <w:r>
        <w:rPr>
          <w:b/>
        </w:rPr>
        <w:t>E. 5</w:t>
      </w:r>
    </w:p>
    <w:p>
      <w:r>
        <w:t>Juli 2013, E. 2.1.1; 1A.114/2002 vom 4. Juli 2002, E. 2.2–2.5; Entscheid des Bundesstrafgerichts RR.2013.33 vom 29. Juli 2013, E. 2.1; ZIMMERMANN, a.a.O., N. 524–535).</w:t>
      </w:r>
    </w:p>
    <w:p>
      <w:r>
        <w:rPr>
          <w:b/>
        </w:rPr>
        <w:t>E. 5.1</w:t>
      </w:r>
    </w:p>
    <w:p>
      <w:r>
        <w:t>Die Beschwerdeführerin rügt die Verhältnismässigkeit der Rechtshilfe, in- dem sie vorbringt, das EUR-Konto (obige Erwägung C 4.) sei nicht potenti- ell erheblich da Zahlungen weder von den involvierten Parteien noch von den Beträgen her in Beziehung zum Sachverhalt des Ersuchen stünden, umso weniger sei die Eröffnungsdokumentation dieses Kontos (obi- ge Erwägung C 2.) herauszugeben. Beim USD-Konto (obige Erwä- gung C 3.) beträfen nur Zahlungen von E. zwischen dem 5. September 2007 und dem 6. April 2009 sowie die Checkgutschrift vom 26. Februar 2009 das israelische Strafverfahren. Bezüge anderer Personen als D., B., C., G. Ltd., H. Ltd. und I. seien solche Dritter und auszuscheiden (act. 1 S. 9–11; act. 7 S. 4–12). Teilweise unterstünden die Belege auch dem Anwaltsgeheimnis (act. 7 S. 8).</w:t>
      </w:r>
    </w:p>
    <w:p>
      <w:r>
        <w:rPr>
          <w:b/>
        </w:rPr>
        <w:t>E. 5.2</w:t>
      </w:r>
    </w:p>
    <w:p>
      <w:r>
        <w:t>Rechtshilfemassnahmen müssen verhältnismässig, mit anderen Worten für ihren Zweck tauglich, erforderlich und massvoll sein, also nicht über das hinausgehen, was zu dessen Erreichung notwendig ist (Art. 5 Abs. 2 BV/ Art. 36 Abs. 3 BV, Art. 3 Abs. 1 EUeR, Art. 63 Abs. 1 IRSG; Urteil des Bun- desgerichts 2C_269/2013 vom 5. Juli 2013, E. 7.2.2; ZIMMERMANN, a.a.O., N. 716–725). Das Rechtshilfeersuchen hat den Gegenstand und den Grund des Begehrens zu spezifizieren (Art. 14 Abs. 2 EUeR). Grundsätzlich muss die ersuchte Behörde in ihrer (Schluss-)Verfügung aufzeigen, dass zwi- schen dem Gegenstand der Strafuntersuchung und den von der Rechtshil- fe betroffenen Unterlagen eine ausreichende inhaltliche Konnexität, d.h. ein ausreichender Sachzusammenhang, besteht (BGE 122 II 367 E. 2c; Urteil</w:t>
      </w:r>
    </w:p>
    <w:p>
      <w:r>
        <w:t>- 12 -</w:t>
      </w:r>
    </w:p>
    <w:p>
      <w:r>
        <w:t>des Bundesgerichts 1A.223/2006 vom 2. April 2007, E. 4.1; TPF 2008 44 E. 3.6). Sie kann dies nicht dem ersuchenden Staat überlassen, indem sie ihm die Gesamtheit der beschlagnahmten Dokumente übermittelt. Eine sol- ches Vorgehen wäre unverhältnismässig (BGE 130 II 14 E. 4.3/4.4; 115 Ib 186 E. 4). Die Frage, welche Beweise zur Erhärtung des Verdachts erforderlich sind, ist dabei grundsätzlich dem Ermessen des ersuchenden Staates überlas- sen. Der ersuchte Staat ist im Allgemeinen gar nicht in der Lage, dies beur- teilen zu können. Den ausländischen Strafverfolgungsbehörden sind dieje- nigen Aktenstücke zu übermitteln, die sich möglicherweise auf den im Rechtshilfeersuchen dargestellten Sachverhalt beziehen können; nicht zu übermitteln sind nur diejenigen Akten, die für das ausländische Strafverfah- ren mit Sicherheit nicht erheblich sind. Nicht zulässig wäre es, den auslän- dischen Behörden nur diejenigen Unterlagen zu überlassen, die den im Rechtshilfeersuchen dargestellten Sachverhalt mit Sicherheit beweisen. Massgeblich ist somit die potentielle Erheblichkeit der beschlagnahmten Aktenstücke (BGE 136 IV 83 E. 4.1; 129 II 462 E. 5.3; 122 II 367 E. 2c; 121 II 241 E. 3a; Urteile des Bundesgerichts 2C_269/2013 vom 5. Ju- li 2013, E. 7.2.2; 1A.223/2006 vom 2. April 2007, E. 4.1; TPF 2009 130 E. 4.2–4.4). Dabei darf die ersuchte Rechtshilfebehörde grundsätzlich nicht über ein im Rechtshilfeersuchen gestelltes Begehren hinausgehen (BGE 115 Ib 186 E. 4), wobei die Rechtsprechung diesen Grundsatz insofern präzisiert hat, als dass Rechtshilfeersuchen nach Massgabe des Zwecks der angestreb- ten Rechtshilfe weit ausgelegt werden können, solange alle Voraussetzun- gen für die Gewährung der Rechtshilfe erfüllt sind. Auf diese Weise kann eine andernfalls notwendige Ergänzung des Rechtshilfeersuchens vermie- den werden. Den mit dem ausländischen Begehren verlangten Beweis- massnahmen ist in aller Regel nur dann nicht zu entsprechen, wenn sie keinen Zusammenhang mit der verfolgten Straftat aufweisen und offen- sichtlich für die Zwecke des Untersuchungsverfahrens ungeeignet sind, d.h. wenn das Ersuchen als blosser Vorwand für eine unzulässige Beweis- ausforschung dient (BGE 136 IV 83 E. 4.1; 121 II 241 E. 3a; 115 Ib 186 E. 4; Urteile des Bundesgerichts 1C_322/2013 vom 27. März 2013, E. 1.4; 1A.270/2006 vom 13. März 2007, E. 3.2). Zielt das Rechtshilfeersuchen auf die Ermittlung ab, auf welchem Weg Geldmittel möglicherweise strafbarer Herkunft verschoben wurden, so sind die Behörden des ersuchenden Staates grundsätzlich über alle Transaktio- nen zu informieren, die von Gesellschaften und über Konten getätigt wur- den, welche in die Angelegenheit verwickelt sind. Nach der Praxis des</w:t>
      </w:r>
    </w:p>
    <w:p>
      <w:r>
        <w:t>- 13 -</w:t>
      </w:r>
    </w:p>
    <w:p>
      <w:r>
        <w:t>Bundesgerichts sind grundsätzlich alle sachlich und zeitlich konnexen si- chergestellten Aktenstücke zu übermitteln (BGE 136 IV 83 E. 4.4; 129 II 462 E. 5.3–5.5; 121 II 241 E. 3c; Urteile des Bundesgerichts 1C_625/2012 vom 17. Dezember 2012, E. 2.2; 1A.7/2007 vom 3. Juli 2007, E. 7.2; 1A.79/2005 vom 27. April 2005, E. 4.1; TPF 2011 97 E. 5.1; TPF 2009 161 E. 5; Entscheid des Bundesstrafgerichts RR.2013.33 vom 29. Juli 2013, E. 4.3; ZIMMERMANN, a.a.O., N. 722).</w:t>
      </w:r>
    </w:p>
    <w:p>
      <w:r>
        <w:rPr>
          <w:b/>
        </w:rPr>
        <w:t>E. 5.3</w:t>
      </w:r>
    </w:p>
    <w:p>
      <w:r>
        <w:t>Ziel des israelischen Rechtshilfeersuchens ist es, mehr über die Zahlungen von E. an A. Corp. zu erfahren und den Endbegünstigten dieser Gelder aufzufinden (Urk. 1 S. 5). Dafür muss sie Überweisungen an andere Bank- konten kennen. Es wird denn auch um detaillierte Bankauszüge vom 1. April 2007 bis 31. Dezember 2009 ersucht, um die ab dem Konto der A. Corp. stattgefundenen Transaktionen in Erfahrung zu bringen (Urk. 1 S. 6). Laut Sachverhalt (obige Erwägung 4.3) sind mutmasslich deliktische CHF 477'860.--, CHF 395'138.-- und USD 700'000.-- auf das Konto der A. Corp. gelangt. Die Schlussverfügung zeigt weitere Verbindungen zum untersuchten Sachverhalt (Urk. 16 S. 5 f., wobei es sich recte um Bankun- terlagen der Bank F. AG handelt, nicht der Bank BB.), so diverse Zahlun- gen von E.</w:t>
      </w:r>
    </w:p>
    <w:p>
      <w:r>
        <w:rPr>
          <w:b/>
        </w:rPr>
        <w:t>E. 5.4</w:t>
      </w:r>
    </w:p>
    <w:p>
      <w:r>
        <w:t>Die Beschwerdeführerin macht nicht geltend, es würden in zeitlicher Hin- sicht Überweisungen ausserhalb der Zeitspanne 1. April 2007 bis 31. Dezember 2009 übermittelt (bei den Daten aus dem Jahr 2013 in act. 7 S. 6 f., 11 handelt es sich offensichtlich um Fehlübertragungen).</w:t>
      </w:r>
    </w:p>
    <w:p>
      <w:r>
        <w:rPr>
          <w:b/>
        </w:rPr>
        <w:t>E. 5.5</w:t>
      </w:r>
    </w:p>
    <w:p>
      <w:r>
        <w:t>In der Deutung der Beschwerde, sind Transaktionen mit anderen als den im Rechtshilfeersuchen erwähnten Personen für das israelische Strafver- fahren nicht erheblich. Dem ist nicht so, geht es doch ausdrücklich auch darum, den Geldfluss zu verstehen und dessen Ziel aufzufinden. Die EUR- und USD-Konten, Unterkonten der gleichen Verbindung, sind durch Fo- reign Exchange Spot Transactions miteinander verzahnt (z.Bsp. 2 064, 2 148, 3 004, 3 006, 3 012). Das Übermittlungsschreiben der Bank F. AG vom 2. Juli 2013 (Urk. 10) bietet als Einziges eine Übersicht der zahlrei- chen Fiduz Call- und Festgeld-Hereinnahmen in EUR und USD. Ohne die- se Angaben wären die Zahlungsflüsse kaum zu entwirren. Die Beschwerdeführerin nennt zwei der erschwerenden Umstände gleich selbst: dass in sephardischen Familien manches formlos gehandhabt wer- de (act. 7 S. 9–12, Ziff. 54 f.) und dass auf den Konten Ein- und Ausgänge nicht kongruent seien (act. 7 S. 3 Ziff. 33), sich somit vermutungsweise le- gale und deliktische Gelder vermischten. Nur die ersuchende Behörde im</w:t>
      </w:r>
    </w:p>
    <w:p>
      <w:r>
        <w:t>- 14 -</w:t>
      </w:r>
    </w:p>
    <w:p>
      <w:r>
        <w:t>israelischen Strafverfahren vermag diese Komplexität zu würdigen und dies auch nur, wenn sie das ganze Bild kennt. Die belegte Verbindung zum is- raelischen Strafverfahren und zwischen den Konten führt damit im Zusam- menwirken mit den erschwerenden Umständen dazu, dass vorliegend die ganze Kontodokumentation so zu übermitteln ist, wie dies die Schlussver- fügung vorsieht (vgl. das Urteil des Bundesgerichts 1A.79/2005 vom 27. April 2005, E. 4.1).</w:t>
      </w:r>
    </w:p>
    <w:p>
      <w:r>
        <w:rPr>
          <w:b/>
        </w:rPr>
        <w:t>E. 5.6</w:t>
      </w:r>
    </w:p>
    <w:p>
      <w:r>
        <w:t>Damit sind entgegen den Darstellungen in der Beschwerde (act. 7 9–12) einmal Überweisungen an Angehörige potentiell erheblich (2 052–02 057; 2 112–02 118; 2 142–02 147; 2 150–02 157; 2 158–02 164; 2 190–02 195; 2 184–02 189 [Family Office: CC. Sarl]; act. 7 S. 9 f.). Ein Gleiches gilt für die Investitionstätigkeit und Beratungshonorare (2 036–02 041 [J.]; 2 064– 2 067 / 2 148–2 149 [overnight investments]; 2 068–02 070 [M. Ltd.]; 2 081–02 088 [Überweisung an Architekturbüros in Israel für Aufträge in Georgien]; 2 125–02 130 [R.]; 2 197–02 202 [AA.]; act. 7 S. 6–9).</w:t>
      </w:r>
    </w:p>
    <w:p>
      <w:r>
        <w:rPr>
          <w:b/>
        </w:rPr>
        <w:t>E. 5.7</w:t>
      </w:r>
    </w:p>
    <w:p>
      <w:r>
        <w:t>Ob weiter bankinterne Belege zu Überweisungen an Anwaltskanzleien überhaupt vom Anwaltsgeheimnis (hier Art. 264 Abs. 1 lit. c StPO i.V.m. Art. 171 Abs. 1 StPO; Art. 9 IRSG) erfasst sind, wie dies die Beschwerde- führerin anzunehmen scheint (act. 7 S. 8), ist unklar. Dessen Schutzbereich ist nämlich deshalb nicht tangiert, weil die Überweisungen nicht anwalts- spezifische Tätigkeiten honorieren, sondern Vermögensverwaltung ent- schädigen (dazu VEST/HORBER, Basler Kommentar zur StPO, Basel 2011, Art. 171 N. 3 und BGE 126 II 495 E. 5e/aa; TPF 2010 53 E. 4.2; TPF 2008 141 E. 4; Entscheid des Bundesstrafgerichts BE.2009.22 vom 23. Februar 2010, E. 3.2 f.). So war das "DD. Project" der Grund der Überweisung an die Kanzlei O. (2 101–02 104, 20. Mai 2008 USD 2'500.--). Bei Anwaltskanzlei N. steht zweimal explizit im Buchungstext, dass die Zahlungen für "EE. Inc." seien; ein anderes Mal ist die "FF. Corp." der Zahlungsgrund (2 172–02 175, 26. Mai 2009 USD 700.--; 2 073–02 080, 23. April 2008 USD 705.06 und USD 1'105.06). Die Überweisung an Attorney Q. nennt schliesslich gar kei- nen Zahlungsgrund (2 120–02 123, 12. November 2008 USD 2'500.–). Hin- sichtlich der Anwaltskanzlei K. macht schliesslich nicht einmal die Be- schwerdeführerin geltend, dass sie eine Tätigkeit honoriere, die vom An- waltsgeheimnis erfasst wäre (2 042–02 045, 5. März 2008 USD 10'269.33; act. 7 S. 7). Allgemeine Verweise auf das Anwaltsgeheimnis können diesen Befund nicht erschüttern. Ist damit von Überweisungen im Zusammenhang mit</w:t>
      </w:r>
    </w:p>
    <w:p>
      <w:r>
        <w:t>- 15 -</w:t>
      </w:r>
    </w:p>
    <w:p>
      <w:r>
        <w:t>Vermögensverwaltungstätigkeiten von Anwälten auszugehen, so sind auch diese Unterlagen herauszugeben.</w:t>
      </w:r>
    </w:p>
    <w:p>
      <w:r>
        <w:rPr>
          <w:b/>
        </w:rPr>
        <w:t>E. 5.8</w:t>
      </w:r>
    </w:p>
    <w:p>
      <w:r>
        <w:t>Die erhobenen Rügen stellen sich damit als unzutreffend heraus. Ab- deckungen (so act. 7 S. 12) sind keine erforderlich. Die Rechtshilfe, wie sie die Schlussverfügung gewährt, ist verhältnismässig.</w:t>
      </w:r>
    </w:p>
    <w:p>
      <w:r>
        <w:t>6.</w:t>
      </w:r>
    </w:p>
    <w:p>
      <w:r>
        <w:t>6.1 Gerügt ist weiter der Spezialitätsvorbehalt. Ziff. 3 des Rubrums [recte Dis- positivs, Urk. 16 S. 7] der Schlussverfügung sei generisch gehalten, er- wähne auch unmassgebliche Abkommen wie dasjenige von Schengen und sei ohne Verweis auf Art. 26 Abs. 3 des 2. ZP (act. 1 S. 12). Nach dieser Bestimmung kann jede Vertragspartei die Übermittlung der infolge der Er- ledigung eines Ersuchens nach dem Übereinkommen oder einem seiner Protokolle erlangten Daten unter bestimmten Voraussetzungen verweigern. 6.2 Hat die Beschwerdegegnerin in der angefochtenen Schlussverfügung den üblichen Spezialitätsvorbehalt angebracht, so wird die Einhaltung des Spe- zialitätsprinzips durch die Vertragsstaaten des EUeR nach dem völker- rechtlichen Vertrauensprinzip als selbstverständlich vorausgesetzt (vgl. Art. 26 des Wiener Übereinkommens vom 23 Mai 1969 über das Recht der Verträge [VRK; SR 0.111]; BGE 130 III 620 E. 3.4.2; 121 I 181 E. 2c/aa; 117 Ib 337 E. 2; Urteile des Bundesgerichts 1C_257/2010 vom 1. Juni 2010, E. 2.4; 1A.112/2004 vom 17. September 2004, E. 5.2; zum Spezialitätsprinzip selbst: BGE 139 IV 137 E. 5.2.3; TPF 2008 68 E. 2.3). 6.3 Art. 26 Abs. 3 des 2. ZP kann von einer Vertragspartei angerufen werden und ist eine beide Vertragsparteien ohnehin bindende Bestimmung, so dass kein Anwendungsfall des Spezialitätsprinzips vorliegt. Hinzu kommt, dass diese Norm durch die vorliegende Übermittlung gar nicht tangiert wür- de (es geht um Art. 26 Abs. 1 lit. a, Verwendung für Strafverfahren). 6.4 Zusammenfassend geht die Rüge der Verletzung des Spezialitätsprinzips fehl.</w:t>
      </w:r>
    </w:p>
    <w:p>
      <w:r>
        <w:rPr>
          <w:b/>
        </w:rPr>
        <w:t>E. 7</w:t>
      </w:r>
    </w:p>
    <w:p>
      <w:r>
        <w:t>Da sich alle Rügen als unzutreffend erweisen, ist die Beschwerde abzuwei- sen.</w:t>
      </w:r>
    </w:p>
    <w:p>
      <w:r>
        <w:rPr>
          <w:b/>
        </w:rPr>
        <w:t>E. 8</w:t>
      </w:r>
    </w:p>
    <w:p>
      <w:r>
        <w:t>Bei diesem Ausgang des Verfahrens sind die Gerichtskosten der Be- schwerdeführerin aufzuerlegen (Art. 63 Abs. 1 VwVG). Die Gerichtsgebühr</w:t>
      </w:r>
    </w:p>
    <w:p>
      <w:r>
        <w:t>- 16 -</w:t>
      </w:r>
    </w:p>
    <w:p>
      <w:r>
        <w:t>ist auf Fr. 4'000.-- festzusetzen (Art. 63 Abs. 4bis und Abs. 5 VwVG i.V.m. Art. 73 StBOG sowie Art. 5 und Art. 8 Abs. 3 lit. a des Reglements des Bundesstrafgerichts vom 31. August 2010 über die Kosten, Gebühren und Entschädigungen in Bundesstrafverfahren [BStKR; SR 173.713.162]), der geleistete Kostenvorschuss (act. 5) daran anzurechnen. Es besteht kein Anspruch auf eine Prozessentschädigung (Art. 429 Abs. 1 StPO i.V.m. Art. 15 Abs. 1 IRSG).</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