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 vom 3. Mai 2013</w:t>
      </w:r>
    </w:p>
    <w:p>
      <w:r>
        <w:t>Bundesstrafgericht, 2013-05-03, DE</w:t>
      </w:r>
    </w:p>
    <w:p>
      <w:r>
        <w:rPr>
          <w:b/>
        </w:rPr>
        <w:t xml:space="preserve">Quelle: </w:t>
      </w:r>
      <w:r>
        <w:t>https://mcp.opencaselaw.ch/entscheid/bstger_RR.2013.25</w:t>
      </w:r>
    </w:p>
    <w:p>
      <w:r>
        <w:t>FR: TPF RR.2013.25 du 3 mai 2013</w:t>
      </w:r>
    </w:p>
    <w:p>
      <w:r>
        <w:t>IT: TPF RR.2013.25 del 3 maggio 2013</w:t>
      </w:r>
    </w:p>
    <w:p>
      <w:pPr>
        <w:pStyle w:val="Heading2"/>
      </w:pPr>
      <w:r>
        <w:t>Regeste</w:t>
      </w:r>
    </w:p>
    <w:p>
      <w:r>
        <w:t>Internationale Rechtshilfe in Strafsachen an Deutschland. Herausgabe von Beweismitteln (Art. 74 IRSG).</w:t>
      </w:r>
    </w:p>
    <w:p>
      <w:pPr>
        <w:pStyle w:val="Heading2"/>
      </w:pPr>
      <w:r>
        <w:t>Erwägungen</w:t>
      </w:r>
    </w:p>
    <w:p>
      <w:r>
        <w:rPr>
          <w:b/>
        </w:rPr>
        <w:t>E. 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November 1969 (ZV-D/EUeR; SR 0.351.913.61), sowie die Bestim- mungen der Art. 48 ff. des Übereinkommens vom 19. Juni 1990 zur Durch- führung des Übereinkommens von Schengen vom 14. Juni 1985 (Schen- gener Durchführungsübereinkommen, SDÜ, ABl. L 239 vom 22. September 2000, S. 19-62) massgebend.</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S. 40 f.; 136 IV 82 E. 3.1; 129 II 462 E. 1.1 S. 464). Vorbehalten bleibt die Wahrung</w:t>
      </w:r>
    </w:p>
    <w:p>
      <w:r>
        <w:t>der Menschenrechte (vgl. BGE 135 IV 212 E. 2.3 S. 215; 123 II 595 E. 7c S. 616 ff., je m.w.H.).</w:t>
      </w:r>
    </w:p>
    <w:p>
      <w:r>
        <w:rPr>
          <w:b/>
        </w:rPr>
        <w:t>E. 2.1</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122 II 130 E. 2b; 118 Ib 547 E. 1d; TPF 2007 79 E. 1.6). Ein schutzwürdiges Interesse liegt nicht schon dann vor, wenn jemand ir- gendeine Beziehung zum Streitobjekt zu haben behauptet. Vielmehr muss eine vom einschlägigen Bundesrecht erfasste "spezifische Beziehungsnä- he" dargetan sein. Eine bloss mittelbare Betroffenheit genügt hingegen nicht (BGE 128 II 211 E. 2.3 S. 217 m.w.H.). Für Personen, die in den zur Herausgabe vorgesehenen Unterlagen erwähnt werden, jedoch nicht direkt von einer Zwangsmassnahme betroffen sind, ist die Beschwerdebefugnis grundsätzlich zu verneinen (vgl. BGE 128 II 211 E. 2.3 S. 218; 123 II 153, E. 2b S. 157, je m.w.H.).</w:t>
      </w:r>
    </w:p>
    <w:p>
      <w:r>
        <w:rPr>
          <w:b/>
        </w:rPr>
        <w:t>E. 2.2</w:t>
      </w:r>
    </w:p>
    <w:p>
      <w:r>
        <w:t>Der Beschwerdeführer ist bezüglich der Herausgabe der Bankunterlagen, die seine Konten bei der Bank C. AG betreffen, beschwerdelegitimiert. Kei- ne Beschwerdelegitimation kommt ihm hingegen von vornherein in Bezug auf die herauszugebenden Einvernahmeprotokolle der Zeugen F. und G. zu, selbst wenn er in den Einvernahmeprotokollen genannt wird. Weder musste sich der Beschwerdeführer hierbei selber einer Zwangsmassnahme unterwerfen, noch handelt es sich um Dokumente, in denen sich der Be- schwerdeführer zu seiner eigenen Situation geäussert hätte. Inwieweit die Legitimation des Beschwerdeführers hinsichtlich der restlichen herauszu- gebenden Dokumente und Beweismittel – insbesondere bezüglich der Bankunterlagen der D. AG und der E. AG – zu bejahen ist, kann vorliegend offen bleiben, da die Beschwerde, wie noch zu zeigen sein wird, in der Hauptsache abzuweisen ist.</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Der Beschwerdeführer macht unter Hinweis auf seinen bereits am 8. Feb- ruar 2012 beim BJ erhobenen "Einspruch" gegen das Rechtshilfeersuchen in einem ersten Punkt geltend, der Sachverhalt im Rechtshilfeersuchen sei unrichtig wiedergegeben worden. Es treffe nicht zu, dass er bei der An- nahme von Fremdgeld Schulden von mehreren Millionen Euro gehabt ha- be. Er habe das Geld auch nicht zur Finanzierung seines Lebensstils ver- wendet. Er habe sein ganzes Privat- und Firmenvermögen wegen der Fi- nanzkrise im Jahre 2009 verloren, was dann auch zum Konkurs seiner Fir- men D. AG und E. AG geführt habe. Der ihm vorgeworfene Sachverhalt sei nach Schweizer Recht ohnehin nicht strafbar, da jeder Kapitalgeber ver- pflichtet sei, umfangreiche Auskünfte über den Kapitalnehmer einzuholen. Es werde ein sehr hohes Mass an Eigenverantwortung verlangt (Verfah- rensakten pag. 19 ff.; act. 9 S. 4).</w:t>
      </w:r>
    </w:p>
    <w:p>
      <w:r>
        <w:rPr>
          <w:b/>
        </w:rPr>
        <w:t>E. 4.2</w:t>
      </w:r>
    </w:p>
    <w:p>
      <w:r>
        <w:t>In formeller Hinsicht muss das Rechtshilfeersuchen insbesondere Angaben über den Gegenstand und den Grund des Ersuchens enthalten (Art. 14 Ziff. 1 lit. b EUeR). Ausserdem muss das Ersuchen namentlich bei Heraus- gabe von Beweismitteln wie in casu die strafbare Handlung bezeichnen und eine kurze Darstellung des Sachverhalts enthalten (Art. 14 Ziff. 2 i.V.m. Art. 3 Ziff. 1 EUeR). Art. 28 Abs. 2 und 3 IRSG i.V.m. Art. 10 IRSV stellen entsprechende Anforderungen an das Rechtshilfeersuchen. Diese Anga- ben müssen der ersuchten Behörde die Prüfung erlauben, ob die doppelte Strafbarkeit gegeben ist (vgl. Art. 5 Ziff. 1 lit. a EUeR), ob die Handlungen, wegen denen um Rechtshilfe ersucht wird, nicht politische oder fiskalische Delikte darstellen (Art. 2 lit. a EUeR) und ob der Grundsatz der Verhältnis- mässigkeit gewahrt wird (BGE 129 II 97 E. 3.1 S. 98 f.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 chen gebunden, soweit sie nicht durch offensichtliche Fehler, Lücken oder Widersprüche sofort entkräftet wird (BGE 133 IV 76 E. 2.2 S. 79; 132 II 81 E. 2.1 S. 85; Entscheide des Bundesstrafgerichts RR.2009.39 vom 22. September 2009, E. 8.1; RR.2008.158 vom 20. November 2008, E. 5.3, je m.w.H).</w:t>
      </w:r>
    </w:p>
    <w:p>
      <w:r>
        <w:rPr>
          <w:b/>
        </w:rPr>
        <w:t>E. 4.3</w:t>
      </w:r>
    </w:p>
    <w:p>
      <w:r>
        <w:t>Die Vertragsparteien des EUeR können sich das Recht vorbehalten, die Er- ledigung von Rechtshilfeersuchen um Durchsuchung oder Beschlagnahme von Gegenständen der Bedingung zu unterwerfen, dass die dem Ersuchen zugrunde liegende strafbare Handlung sowohl nach dem Recht des ersu- chenden als auch nach dem des ersuchten Staates strafbar ist (Art. 5 Ziff. 1 lit. a EUeR). Die Schweiz hat für den Vollzug von Rechtshilfeersuchen, mit welchen Zwangsmassnahmen beantragt werden, einen entsprechenden Vorbehalt angebracht. Art. 64 Abs. 1 IRSG bestimmt für die akzessorische Rechtshilfe, dass prozessuale Zwangsmassnahmen nur angewendet wer- den dürfen, wenn aus der Sachverhaltsdarstellung im Ersuchen hervorgeht,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S. 465). Zu prüfen ist mithin, ob der im Ausland verübte inkriminierte Sachverhalt, so- fern er – analog – in der Schweiz begangen worden wäre, die Tatbe-</w:t>
      </w:r>
    </w:p>
    <w:p>
      <w:r>
        <w:t>standsmerkmale einer schweizerischen Strafnorm erfüllen würde. Die Strafnormen brauchen nach den Rechtssystemen der Schweiz und des er- suchenden Staates nicht identisch zu sein (Urteil des Bundesgerichts 1A.125/2006 vom 10. August 2006, E. 2.1 m.w.H.).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 S. 466). Ebenfalls nicht erforderlich ist, dass dem von der Rechtshilfemassnahme Betroffenen im ausländischen Strafverfahren selbst ein strafbares Verhal- ten zur Last gelegt wird (Urteil des Bundesgerichts 1A.245/2006 vom 26. Januar 2007, E. 3).</w:t>
      </w:r>
    </w:p>
    <w:p>
      <w:r>
        <w:rPr>
          <w:b/>
        </w:rPr>
        <w:t>E. 4.4</w:t>
      </w:r>
    </w:p>
    <w:p>
      <w:r>
        <w:t>Im Rechtshilfeersuchen vom 18. Januar 2012 wird dem Beschwerdeführer vorgeworfen, im Zeitraum von 2008 bis 2010 mit der Absicht der rechtswid- rigen Aneignung von Geldmitteln mindestens 4 Personen ein Angebot ge- macht zu haben, ihr Geld gewinnbringend anzulegen. Vereinbarungswidrig habe der Beschwerdeführer die ihm anvertrauten Gelder jedoch unter an- derem für die Finanzierung seines aufwändigen Lebensstiles verwendet. Ausserdem soll er zu jenem Zeitpunkt erhebliche Steuerschulden in der Höhe von EUR 2 Mio. sowie Verbindlichkeiten bei seinen Eltern von EUR 65'000.-- gehabt haben. Er habe seinen Kunden nie Zinszahlungen geleistet und ihnen auch keinerlei Informationen über die Wertentwicklung ihrer Einlagen erbracht. Nach Ablauf der Vertragsdauer habe er den Kun- den weder Rechenschaft abgelegt, noch sei er für sie erreichbar gewesen. Somit seien folgende Personen geschädigt worden: H.,I., J. und K., jeweils im Umfang von EUR 217'000.--, bzw. EUR 110'000.-- bzw. EUR 500'000.-- bzw. EUR 20'000.-- (Verfahrensakten Reg. 1).</w:t>
      </w:r>
    </w:p>
    <w:p>
      <w:r>
        <w:rPr>
          <w:b/>
        </w:rPr>
        <w:t>E. 4.5</w:t>
      </w:r>
    </w:p>
    <w:p>
      <w:r>
        <w:t>Diese Sachverhaltsdarstellung vermag den gesetzlichen Anforderungen von Art. 28 Abs. 3 lit. a IRSG bzw. Art. 14 Ziff. 1 lit. b EUeR grundsätzlich insgesamt zu genügen und ist weder mit offensichtlichen Fehlern noch mit Lücken oder Widersprüchen behaftet. Die ersuchende Behörde verfügt gemäss dem Rechtshilfeersuchen über konkrete Hinweise darüber, wo- nach der Beschwerdeführer Kundengelder unrechtmässig verwendet ha- ben soll. Die Behauptungen des Beschwerdeführers, die Kundengelder ha- be er nicht zur Finanzierung seines Lebensstils benötigt, da er selber nen- nenswertes Vermögen besessen habe, und er habe weder Steuerschulden noch Verbindlichkeiten seinen Eltern gegenüber, sind nicht zu hören. Es handelt sich hierbei um im Rechtshilfeverfahren unzulässige Gegendarstel- lungen (vgl. BGE 132 II 81 E. 2.1 S. 85; Entscheid des Bundesstrafgerichts RR.2008.62 vom 30. Mai 2008, E. 3.2).</w:t>
      </w:r>
    </w:p>
    <w:p>
      <w:r>
        <w:t>Es bestehen somit keine Anhaltspunkte für die Einleitung des Rechtshilfe- ersuchens ohne Vorhandensein von Verdachtsmomenten und damit für ein missbräuchliches Vorgehen auf Seiten der ersuchenden Behörde. Solche Mängel, die im Sinne der obigen Ausführungen die Sachverhaltsvorwürfe gemäss Rechtshilfeersuchen sofort entkräften würden, zeigt der Be- schwerdeführer nicht auf und sind auch nicht ersichtlich.</w:t>
      </w:r>
    </w:p>
    <w:p>
      <w:r>
        <w:rPr>
          <w:b/>
        </w:rPr>
        <w:t>E. 4.6.1</w:t>
      </w:r>
    </w:p>
    <w:p>
      <w:r>
        <w:t>Nach schweizerischem Recht erfüllt den Tatbestand der Veruntreuung, wer ihm anvertraute Vermögenswerte unrechtmässig in seinem oder eines an- deren Nutzen verwendet (Art. 138 Ziff. 1 Abs. 2 StGB).</w:t>
      </w:r>
    </w:p>
    <w:p>
      <w:r>
        <w:t>Anvertraut sind Vermögenswerte dann, wenn dem Täter die Verfügungs- macht über die Vermögenswerte – entweder durch den Treugeber selbst oder durch einen Dritten – mit der ausdrücklich oder stillschweigend erteil- ten Massgabe übertragen wurde, die Vermögenswerte nicht für eigene Zwecke zu verwenden, sondern ständig zur Verfügung des Treugebers zu halten oder für diesen in einem bestimmten Sinne zu verwenden (Straten- werth/Wohlers, Schweizerisches Strafgesetzbuch, Handkommentar, Bern 2007, Art. 138 N. 4).</w:t>
      </w:r>
    </w:p>
    <w:p>
      <w:r>
        <w:rPr>
          <w:b/>
        </w:rPr>
        <w:t>E. 4.6.2</w:t>
      </w:r>
    </w:p>
    <w:p>
      <w:r>
        <w:t>Laut Rechtshilfeersuchen soll der Beschwerdeführer von verschiedenen Personen Geld angenommen haben, um dieses in lukrative Kapitalanlagen zu investieren. Diese Kundengelder seien dann aber unter anderem vom Beschwerdeführer für sich selbst verwendet worden. Ein derartiges Verhal- ten erfüllt bei einer "prima-facie"-Beurteilung den Tatbestand der Verun- treuung gemäss Art. 138 Ziff. 1 Abs. 2 StGB. Es handelte sich mithin um Einlagen, die in fremdem Interesse in einer bestimmten Weise hätten in- vestiert werden müssen. Die Vermögenswerte waren dazu bestimmt, spä- ter wieder – allenfalls mit einer Rendite – an die Geschädigten zurückzu- fliessen. Der Umstand, dass das Geschäftsrisiko dabei hoch war und Anla- gen auch zu einem Totalverlust führen können, ändert daran nichts. Indem der Beschwerdeführer die Gelder zumindest teilweise anderweitig verwen- det hat, ist der objektive Tatbestand der Veruntreuung anzunehmen (e contrario aus BGE 133 IV 21 E. 7.2 S. 30). Wie es sich in subjektiver Hinsicht mit der Ersatzbereitschaft seitens der Täter und damit der Absicht der unrechtmässigen Bereicherung verhält, ist nicht im Rechtshilfeverfah- ren zu prüfen.</w:t>
      </w:r>
    </w:p>
    <w:p>
      <w:r>
        <w:t>Der im Rechtshilfeersuchen vom 18. Januar 2012 geschilderte Sachverhalt kann nach schweizerischem Recht unter den Tatbestand der Veruntreuung nach Art. 138 Ziff. 1 Abs. 2 StGB subsumiert werden. Das Rechtshilfeerfor- dernis der doppelten Strafbarkeit ist damit erfüllt, ohne dass das Vorliegen</w:t>
      </w:r>
    </w:p>
    <w:p>
      <w:r>
        <w:t>weiterer Straftatbestände – insbesondere des Betrugs – geprüft werden müssen. Die Beschwerde ist in diesem Punkt abzuweisen.</w:t>
      </w:r>
    </w:p>
    <w:p>
      <w:r>
        <w:rPr>
          <w:b/>
        </w:rPr>
        <w:t>E. 5.1</w:t>
      </w:r>
    </w:p>
    <w:p>
      <w:r>
        <w:t>Der Beschwerdeführer macht sodann eine Verletzung des Spezialitätsprin- zips geltend. Der deutsche Staatsanwalt habe überhaupt nicht vor, sich an das Spezialitätsprinzip zu halten. Anstelle der ausschliesslichen Verwen- dung im Strafverfahren würden sowohl der Zivilrichter wie auch der gegne- rische Anwalt bereits auf die Unterlagen für das Zivilverfahren warten (act. 9 S. 5, act. 12).</w:t>
      </w:r>
    </w:p>
    <w:p>
      <w:r>
        <w:rPr>
          <w:b/>
        </w:rPr>
        <w:t>E. 5.2</w:t>
      </w:r>
    </w:p>
    <w:p>
      <w:r>
        <w:t>Hat die Beschwerdegegnerin in der angefochtenen Schlussverfügung bzw. bei der Übermittlung der Unterlagen den üblichen Spezialitätsvorbehalt an- gebracht, so wird die Einhaltung des Spezialitätsprinzips durch die Ver- tragsstaaten des EUeR nach dem völkerrechtlichen Vertrauensprinzip als selbstverständlich vorausgesetzt, ohne dass die Einholung ausdrücklicher Zusicherungen notwendig wäre (vgl. BGE 115 Ib 373 E. 8 S. 377; Urteil des Bundesgerichts 1A.112/2004 vom 17. September 2004, E. 5.2; Entscheide des Bundesstrafgerichts RR.2007.60 vom 25. Juli 2007, E. 3.2; RR.2007.112 vom 19. Dezember 2007, E. 5.1).</w:t>
      </w:r>
    </w:p>
    <w:p>
      <w:r>
        <w:t>Ziffer 6 der Schlussverfügung enthält den Spezialitätsvorbehalt in üblicher Formulierung, womit sich auch diese Rüge als unbegründet erweist.</w:t>
      </w:r>
    </w:p>
    <w:p>
      <w:r>
        <w:rPr>
          <w:b/>
        </w:rPr>
        <w:t>E. 6</w:t>
      </w:r>
    </w:p>
    <w:p>
      <w:r>
        <w:t>Der ferner erhobene Einwand, die Herausgabe der Bankunterlagen verlet- ze das Bankgeheimnis (Verfahrensakten pag. 23), ist unbehelflich. Das Bankgeheimnis (Art. 47 BankG; SR 952.0), dem nicht der Rang eines ge- schriebenen oder ungeschriebenen verfassungsmässigen Rechtes zu- kommt, hat grundsätzlich gegenüber staatsvertraglichen Verpflichtungen der Schweiz zurückzutreten. Die Rechtshilfe kann aber verweigert werden, wenn es sich bei der vom ausländischen Staat verlangten Auskunft um ei- ne solche handelt, deren Preisgabe das Bankgeheimnis geradezu aushöh- len oder der ganzen schweizerischen Wirtschaft Schaden zufügen würde (BGE 123 II 153 E. 7b S. 160, m.w.H.; Urteile des Bundesgerichts 1A.234/2005 vom 31. Januar 2006, E. 4; 1A.269/2005 vom 2. Dezem- ber 2005, E. 5). Im vorliegenden Fall wird Auskunft erteilt über die Bankbe- ziehungen des Beschwerdeführers sowie der D. AG und der E. AG. Damit wird weder das Bankgeheimnis offensichtlich ausgehöhlt noch der ganzen</w:t>
      </w:r>
    </w:p>
    <w:p>
      <w:r>
        <w:t>schweizerischen Wirtschaft Schaden zugefügt. Das Bankgeheimnis steht der Rechtshilfe deshalb nicht entgegen.</w:t>
      </w:r>
    </w:p>
    <w:p>
      <w:r>
        <w:rPr>
          <w:b/>
        </w:rPr>
        <w:t>E. 7</w:t>
      </w:r>
    </w:p>
    <w:p>
      <w:r>
        <w:t>Nicht zu hören ist schliesslich die Rüge des Beschwerdeführers, das Rechtshilfeersuchen sei abzuweisen, weil die Frage der örtlichen Zustän- digkeit des Landgerichts Ulm, vor dem die Staatsanwaltschaft Ulm Anklage erhoben habe, höchst strittig sei (Verfahrensakten pag. 24). Die Frage der örtlichen Zuständigkeit des im deutschen Strafverfahren angerufenen Ge- richts ist nicht vom Rechtshilferichter zu beurteilen. Dies wird Gegenstand des deutschen Strafverfahrens sein.</w:t>
      </w:r>
    </w:p>
    <w:p>
      <w:r>
        <w:rPr>
          <w:b/>
        </w:rPr>
        <w:t>E. 8</w:t>
      </w:r>
    </w:p>
    <w:p>
      <w:r>
        <w:t>Damit erweisen sich die Rügen des Beschwerdeführers allesamt als unbe- gründet, weshalb die Beschwerde vollumfänglich abzuweisen ist, soweit darauf eingetreten werden kann.</w:t>
      </w:r>
    </w:p>
    <w:p>
      <w:r>
        <w:rPr>
          <w:b/>
        </w:rPr>
        <w:t>E. 9.1</w:t>
      </w:r>
    </w:p>
    <w:p>
      <w:r>
        <w:t>Der Beschwerdeführer ersucht schliesslich um unentgeltliche Prozessfüh- rung und die Beigabe eines amtlichen Verteidigers als unentgeltlicher Rechtsbeistand (RP.2013.6 act. 1).</w:t>
      </w:r>
    </w:p>
    <w:p>
      <w:r>
        <w:rPr>
          <w:b/>
        </w:rPr>
        <w:t>E. 9.2</w:t>
      </w:r>
    </w:p>
    <w:p>
      <w:r>
        <w:t>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(BGE 129 I 129 E. 2.3.1; 128 I 225 E. 2.5.3; 124 I 30 E. 2c).</w:t>
      </w:r>
    </w:p>
    <w:p>
      <w:r>
        <w:rPr>
          <w:b/>
        </w:rPr>
        <w:t>E. 9.3</w:t>
      </w:r>
    </w:p>
    <w:p>
      <w:r>
        <w:t>Den vorstehenden Erwägungen ist zu entnehmen, dass die Beschwerde in allen Punkten offensichtlich aussichtslos war und demgemäss keinen Aus- sicht auf Erfolg hatte. Das Gesuch ist daher bereits aus diesem Grund ab- zuweisen.</w:t>
      </w:r>
    </w:p>
    <w:p>
      <w:r>
        <w:rPr>
          <w:b/>
        </w:rPr>
        <w:t>E. 9.4</w:t>
      </w:r>
    </w:p>
    <w:p>
      <w:r>
        <w:t>Bei diesem Ausgang des Verfahrens hat der Beschwerdeführer die Ge- richtskosten selber zu tragen (Art. 63 Abs. 1 VwVG i.V.m. Art. 39 Abs. 2 lit. b StBOG). Für die Berechnung der Gerichtsgebühren gelangt das BStKR i.V.m. Art. 63 Abs. 5 VwVG zur Anwendung. Seiner vermutungswei- se schwierigen finanziellen Situation kann aber gemäss Art. 5 des Regle- ments des Bundesstrafgerichts vom 31. August 2010 über die Kosten, Ge- bühren und Entschädigungen in Bundesstrafverfahren (BStKR; SR 173.713.162) i.V.m. Art. 63 Abs. 4 bis VwVG mit einer reduzierten Ge- richtsgebühr Rechnung getragen werden. Die Gerichtsgebühr ist daher auf Fr. 1'500.--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