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RR.2013.232 vom 5. Dezember 2013</w:t>
      </w:r>
    </w:p>
    <w:p>
      <w:r>
        <w:t>Bundesstrafgericht, 2013-12-05, DE</w:t>
      </w:r>
    </w:p>
    <w:p>
      <w:r>
        <w:rPr>
          <w:b/>
        </w:rPr>
        <w:t xml:space="preserve">Quelle: </w:t>
      </w:r>
      <w:r>
        <w:t>https://mcp.opencaselaw.ch/entscheid/bstger_RR.2013.232</w:t>
      </w:r>
    </w:p>
    <w:p>
      <w:r>
        <w:t>FR: TPF RR.2013.232 du 5 décembre 2013</w:t>
      </w:r>
    </w:p>
    <w:p>
      <w:r>
        <w:t>IT: TPF RR.2013.232 del 5 dicembre 2013</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Grossbritannien und der Schweiz sind in ers- ter Linie das Europäische Übereinkommen vom 20. April 1959 über die Rechtshilfe in Strafsachen (EUeR, SR 0.351.1), das zu diesem Überein- kommen am 8. November 2001 ergangene zweite Zusatzprotokoll (2. ZP; SR 0.351.12), sowie die Bestimmungen der Art. 48 ff. des Übereinkom- mens vom 19. Juni 1990 zur Durchführung des Übereinkommens von Schengen vom 14. Juni 1985 (Schengener Durchführungsübereinkommen, SDÜ; ABl. L 239 vom 22. September 2000, S. 19–62) massgebend. Die Bestimmungen der Schengener Abkommen zur Rechtshilfe sind für Gross- britannien seit 1. Januar 2005 in Kraft (Art. 1(a)(i) des Beschlusses des Ra- tes 2000/365/EG vom 29. Mai 2000, ABL. L. 131 vom 1. Juni 2000, S. 43 bis 47 i.V.m. Art. 1 des Beschlusses des Rates 2004/926/EG vom 22. Dezember 2004, ABL. L. 395 vom 31. Dezember 2004, S. 70 bis 78). Diese Abkommen werden ergänzt mit dem Übereinkommen vom 8. November 1990 über Geldwäscherei sowie Ermittlung, Beschlagnahme</w:t>
      </w:r>
    </w:p>
    <w:p>
      <w:r>
        <w:t>- 5 -</w:t>
      </w:r>
    </w:p>
    <w:p>
      <w:r>
        <w:t>und Einziehung von Erträgen aus Straftaten (GwUe; SR 0.311.53; BGE 133 IV 215 E. 2.1; 123 II 134 E. 5b). Günstigere Bestimmungen bilate- raler oder multilateraler Übereinkünfte zwischen den Vertragsparteien blei- ben von diesen multilateralen Abkommen unberührt (Art. 48 Abs. 2 SDÜ; Art. 26 Absätze 2 und 3 EUeR; ZIMMERMANN, La coopération judiciaire in- ternationale en matière pénale, 3. Aufl., Brüssel/Bern 2009, N. 18–21, 28 bis 44, 79 ff.,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136 IV 82 E. 3.1; 135 IV 212 E. 2.3; 129 II 462 E. 1.1; ZIMMER- MANN, a.a.O., N. 229), ist das Bundesgesetz vom 20. März 1981 über inter- nationale Rechtshilfe in Strafsachen (IRSG; SR 351.1) und die dazugehöri- 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Rechtshilfeangelegenheiten sind darüber hinaus die Bestimmungen des Bundesgesetzes vom 20. Dezember 1968 über das Verwaltungsverfahren (Verwaltungsverfah- rensgesetz, VwVG; SR 172.021) anwendbar (Art. 39 Abs. 2 lit. b des Bun- desgesetzes vom 19. März 2010 über die Organisation der Strafbehörden des Bundes [Strafbehördenorganisationsgesetz, StBOG; SR 173.71]; Art. 12 Abs. 1 IRSG; ZIMMERMANN, a.a.O., N. 275).</w:t>
      </w:r>
    </w:p>
    <w:p>
      <w:r>
        <w:rPr>
          <w:b/>
        </w:rPr>
        <w:t>E. 2.1</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Eine bloss mittelbare Betroffenheit genügt hingegen nicht (BGE 137 IV 134 E. 5 mit Übersicht über die Rechtsprechung). Nach Art. 9a lit. b IRSV ist bei der Erhebung von Kontoinformationen der Kontoinhaber zur Beschwerde legitimiert (zum Ganzen die Urteile des Bundesge- richts 2C_269/2013 vom</w:t>
      </w:r>
    </w:p>
    <w:p>
      <w:r>
        <w:rPr>
          <w:b/>
        </w:rPr>
        <w:t>E. 2.2</w:t>
      </w:r>
    </w:p>
    <w:p>
      <w:r>
        <w:t>Als Inhaberin der auf sie lautenden Konten ist die Legitimation der Be- schwerdeführerin gegeben. Auf die auch fristgerecht eingereichte Be- schwerde ist somit einzutreten.</w:t>
      </w:r>
    </w:p>
    <w:p>
      <w:r>
        <w:t>3.</w:t>
      </w:r>
    </w:p>
    <w:p>
      <w:r>
        <w:t>3.1 Gerügt ist die Verhältnismässigkeit der Rechtshilfe. Zunächst sei nur der Zeitraum von 1. Oktober 2011 bis 31. März 2012 betroffen, eine Herausga- be von Dokumenten ausserhalb dieses Zeitraums daher übermässig (act. 4.1 S. 6; act. 12 S. 3–5). Dies betreffe die Dokumente Nr. 58–61, 63, 65–67 (Bank O. AG) und Nr. 53, 54, 77, 78, 80, 82, 83, 84, 87–96, 101–120 (Bank N. SA). Die Dokumente 77, 78, 81–84, 97–99 (Bank N. SA) seien teilweise inner- halb dieses Zeitraumes, entsprächen aber insoweit nicht den Suchbegriffen im Rechtshilfeverfahren (act. 4.1 S. 10, 7–9; gemeint ist wohl, dass sie nicht den Suchbegriffen im Entsiegelungsverfahren entsprächen, vgl. obige Erwägung D, Urk. 35 und act. 12 S. 5). Andere Gesellschaften als H. plc, I. plc, J., K. und L. hätten nichts mit dem Strafverfahren zu tun. Vor einer Übermittlung müssten andere Firmen daher unkenntlich gemacht werden (act. 4.1 S. 6 f.). Insoweit habe Grossbritannien keine Rechtshilfe verlangt, weshalb das Geheimhaltungsinteresse der Beschwerdeführerin an ihrer Beteiligungsstruktur überwiege (act. 4.1 S. 6 f.; act. 12 S. 3–5). Beantragt wird auch, auf eine Zusammenstellung der einzelnen Belege zu verzichten (act. 4.1 S. 10). 3.2 Rechtshilfemassnahmen müssen verhältnismässig sein, d.h. für ihren Zweck tauglich, erforderlich und massvoll sein, mit anderen Worten nicht über das hinausgehen, was zu dessen Erreichung notwendig ist (Art. 5 Abs. 2 BV/Art. 36 Abs. 3 BV, Art. 3 Abs. 1 EUeR, Art. 63 Abs. 1 IRSG; Ur- teil des Bundesgerichts 2C_269/2013 vom 5. Juli 2013, E. 7.2.2; ZIMMER- MANN, a.a.O., N. 716–725). Das Rechtshilfeersuchen hat den Gegenstand und den Grund des Begehrens zu spezifizieren (Art. 14 Abs. 2 EUeR). Grundsätzlich muss die ersuchte Behörde in ihrer (Schluss-)Verfügung auf- zeigen, dass zwischen dem Gegenstand der Strafuntersuchung und den von der Rechtshilfe betroffenen Unterlagen eine ausreichende inhaltliche Konnexität besteht, also ein ausreichender Sachzusammenhang (sog. potentielle Erheblichkeit; BGE 122 II 367 E. 2c; Urteil des Bundesge- richts 1A.223/2006 vom 2. April 2007, E. 4.1; TPF 2008 44 E. 3.6). Sie</w:t>
      </w:r>
    </w:p>
    <w:p>
      <w:r>
        <w:t>- 7 -</w:t>
      </w:r>
    </w:p>
    <w:p>
      <w:r>
        <w:t>kann dies nicht dem ersuchenden Staat überlassen, indem sie ihm die Ge- samtheit der beschlagnahmten Dokumente übermittelt. Ein solches Vorge- hen wäre unverhältnismässig (BGE 130 II 14 E. 4.3/4.4; 115 Ib 186 E. 4). Zielt das Rechtshilfeersuchen auf die Ermittlung ab, auf welchem Weg Geldmittel möglicherweise strafbarer Herkunft verschoben wurden, so sind die Behörden des ersuchenden Staates grundsätzlich über alle Transaktio- nen zu informieren, die von Gesellschaften und über Konten getätigt wur- den, welche in die Angelegenheit verwickelt sind. Nach der Praxis des Bundesgerichts sind grundsätzlich alle sachlich und zeitlich konnexen si- chergestellten Aktenstücke zu übermitteln (BGE 136 IV 83 E. 4.4; 129 II 462 E. 5.3–5.5; 121 II 241 E. 3c; Urteile des Bundesgerichts 1C_625/2012 vom 17. Dezember 2012, E. 2.2; 1A.7/2007 vom 3. Juli 2007, E. 7.2; 1A.79/2005 vom 27. April 2005, E. 4.1; TPF 2011 97 E. 5.1; TPF 2009 161 E. 5; Entscheid des Bundesstrafgerichts RR.2013.33 vom 29. Juli 2013, E. 4.3; ZIMMERMANN, a.a.O., N. 722). Soweit sie keiner vereinfachten Übermittlung zustimmen und um ihr Recht nicht zu verwirken, nehmen die Berechtigten an der Ausscheidung (Triage) teil, indem sie innerhalb angesetzter Frist konkret darlegen, Dokument für Dokument, welche einzelnen Aktenstücke (bzw. welche Passagen daraus) für die Strafuntersuchung offensichtlich entbehrlich seien, und diese Auf- fassung auch begründen. Es ist mit dem guten Glauben unvereinbar, die Behörde tatenlos gewähren zu lassen, um ihr im Nachhinein vorzuwerfen, das Verhältnismässigkeitsprinzip verletzt zu haben (BGE 130 II 14 E. 4.3/4.4; 126 II 258 E. 9b/aa; Urteil des Bundesgerichts 1A.234/2005 vom 31. Januar 2006, E. 3.2). Dies gilt besonders bei einer komplexen Untersu- chung mit zahlreichen Akten. Die Beschwerdeinstanz forscht nicht von sich aus nach Aktenstücken, die im ausländischen Verfahren (mit Sicherheit) nicht erheblich sein könnten (BGE 122 II 367 E. 2c; Urteil des Bundesge- richts 1A.223/2006 vom 2. April 2007, E. 4.1). 3.3 Es blieb im Beschwerdeverfahren unbestritten, dass Gelder aus den unter- suchten Geschäften die Konten der Beschwerdeführerin erreichten (auch nicht bestritten in act. 12 S. 3 f.). Ziel der Ersuchen ist, mögliche Insider-Geschäfte aufzuklären (vgl. obige Erwägung B). Die FCA möchte namentlich mit den Unterlagen der Bank O. AG die Herkunft der Gelder für die Gründung der Beschwerdeführerin er- mitteln und die Gewinne aus den Geschäften verfolgen. Unterlagen der Bank N. SA sind insbesondere deshalb von Interesse, weil die ersuchende Behörde aufgrund der von der FINMA erhaltenen Unterlagen weitere In- sidergeschäfte vermutet und daher die Handelshistorie der Beschwerdefüh-</w:t>
      </w:r>
    </w:p>
    <w:p>
      <w:r>
        <w:t>- 8 -</w:t>
      </w:r>
    </w:p>
    <w:p>
      <w:r>
        <w:t>rerin kennen muss. In zeitlicher Hinsicht wird ersucht um Informationen zur Kontoeröffnung und um Kontoauszüge, die die Herkunft von Guthaben und den Bestimmungsort von Lastschriften von September 2010 (zwei Monate vor der Gründung der Beschwerdeführerin) und ab Kontoeröffnung bis heu- te betreffen, eingeschlossen des aktuellen Saldos resp. Endsaldos (Urk. 3 S. 6–8). Die Verfahrensakten geben weiteren Aufschluss über das britische Ermitt- lungsinteresse: Die Ermittlungen sind fortgeschritten, aber noch im Gange (Urk. 3 S. 3: laufende Ermittlungen; momentan untersuchen wir Gesell- schaften…). Neuere Erkenntnisse deuten auf einen weitergehenden Han- del im Jahre 2010 hin, der untersucht wird (Urk. 54 S. 4). 3.4 Dass das Rechtshilfeersuchen das Konto der Beschwerdeführerin bei der Bank O. AG nicht zu kennen schien, macht es unter sachlichen oder zeitli- chen Gesichtspunkten keinesfalls irrelevant. Zwar plädiert die Beschwerdeführerin weiter dafür, auf die angeführten Suchbegriffe (obige Erwägung 3.1) und den Zeitrahmen des Entsiege- lungsverfahrens abzustellen, doch bleibt unklar, wie dies im vorliegenden Verfahren sachgerecht sein soll. Vorliegend geht es nicht um eine (automa- tisierte) Triage von Datenbergen. Ginge es hier doch um die Auseinander- setzung mit der Relevanz jedes einzelnen Dokumentes, hilft der Beschwer- deführerin ein vager Verweis auf ein Entsiegelungsverfahren anderer Par- teien nicht weiter. 3.5 Es trifft sodann nicht zu, dass sich das Rechtshilfeersuchen nur für den Zeitraum von 1. Oktober 2011 bis 31. März 2012 interessiert (in dieser Zeitspanne fanden Handelsaktivitäten statt [Urk. 3 S. 3]; vgl. zum Sachver- halt vorstehende Erwägung B). Ganz im Gegenteil zeigen die Akten ein gu- tes Bild eines breiteren, nicht auf die behauptete Zeitspanne beschränkten Ermittlungsinteresses. Anderes zu behaupten hiesse, einen streng forma- listischen Blickwinkel einzunehmen, den es zu vermeiden gilt (dazu ZIM- MERMANN, a.a.O., N. 301). Nur mit diesem Verständnis kann auch eine an- dernfalls notwendige Ergänzung der Rechtshilfeersuchen vermieden wer- den (BGE 136 IV 82 E. 4.1; Urteil des Bundesgerichts 1C_322/2013 vom 27. März 2013, E. 1.4). Da demnach Dokumente ab 8. November 2010 po- tentiell erheblich sind, ist ihre Herausgabe in zeitlicher Hinsicht verhältnis- mässig. 3.6 In sachlicher Hinsicht a priori die Namen anderer denn der in vorstehender Erwägung 3.1 erwähnten Gesellschaften als unwesentlich auszuschlies- sen, liefe dem Rechtshilfeersuchen zuwider, das den Geldfluss zu und aus den untersuchten Geschäften ermitteln möchte. Der Weiterverbleib der</w:t>
      </w:r>
    </w:p>
    <w:p>
      <w:r>
        <w:t>- 9 -</w:t>
      </w:r>
    </w:p>
    <w:p>
      <w:r>
        <w:t>Gelder kann nur in Kenntnis sämtlicher Transaktionen (innerhalb des Zeit- raumes gemäss vorstehender Erwägung 3.5) verstanden werden. Etwas anderes zeigt die Beschwerdeführerin nicht auf. Die Beschwerdeführerin hätte zu den Unterlagen der Bank N. SA vielmehr u.a. Folgendes beantworten müssen (zum Standard das Urteil des Bun- desgerichts 1A.79/2005 vom 27. April 2005, E. 4.1 f.): Warum sollen Devi- sengeschäfte, zumal sie eventuell auf einem anderen Währungskonto der Beschwerdeführerin gutgeschrieben wurden, nicht wesentlich sein (Nr. 77/78/81/82/83/84)? Weshalb sollen die vorgenommenen Überweisun- gen und Anlagen der Gelder (Nr. 78/81/82/83/84/97–99) ohne Belang für das Verständnis des Zahlungsflusses sein? Warum die Management Fees an G. (Nr. 81/82) von der Übermittlung ausnehmen? Ungenügend darge- stellt ist schliesslich auch, welche Geschäftsgeheimnisse von welchem Gewicht eine unterlassene Übermittlung denn schützen soll. Die Durchsicht der herauszugebenden Unterlagen bestätigt so im Gegenteil ihre Relevanz im Lichte des Ermittlungsinteresses. Angesichts dessen, dass Gelder aus den untersuchten Geschäften nach- gewiesenermassen auf die Konten der Beschwerdeführerin gelangten, sind die Rügen der Beschwerdeführerin inhaltlich nicht zielführend. Erwiesen ist vielmehr die sachliche Konnexität der folglich für das britische Verfahren potentiell erheblichen Dokumente. Somit ist ihre Herausgabe auch in sach- licher Hinsicht verhältnismässig. 3.7 Zusammenfassend ist die Herausgabe von Unterlagen in zeitlicher und sachlicher Hinsicht verhältnismässig. Die erhobenen Rügen sind unbe- gründet, weshalb die Beschwerde abzuweisen ist.</w:t>
      </w:r>
    </w:p>
    <w:p>
      <w:r>
        <w:t>4. Bei diesem Ausgang des Verfahrens wird die Beschwerdeführerin kosten- pflichtig (Art. 63 Abs. 1 VwVG i.V.m. Art. 12 Abs. 1 IRSG, Art. 39 Abs. 2 lit. b StBOG und Art. 37 Abs. 2 lit. a StBOG). Für die Berechnung der Ge- richtsgebühren gelangt das Reglement des Bundesstrafgerichts vom 31. August 2010 über die Kosten, Gebühren und Entschädigungen in Bun- desstrafverfahren (BStKR; SR 173.713.162) zur Anwendung (Art. 65 Abs. 5 VwVG i.V.m. Art. 53 Abs. 2 lit. a StBOG, Art. 73 Abs. 1 lit. a und b StBOG). Es rechtfertigt sich vorliegend, in Anwendung von Art. 73 Abs. 2 StBOG sowie der Art. 5 und 8 Abs. 3 BStKR, die Gebühr auf Fr. 5'000.-- festzusetzen, unter Anrechnung des geleisteten Kostenvor- schusses (act. 5) von Fr. 5'000.--.</w:t>
      </w:r>
    </w:p>
    <w:p>
      <w:r>
        <w:t>- 10 -</w:t>
      </w:r>
    </w:p>
    <w:p>
      <w:r>
        <w:rPr>
          <w:b/>
        </w:rPr>
        <w:t>E. 5</w:t>
      </w:r>
    </w:p>
    <w:p>
      <w:r>
        <w:t>Juli 2013, E. 2.1.1; 1A.114/2002 vom</w:t>
      </w:r>
    </w:p>
    <w:p>
      <w:r>
        <w:t>- 6 -</w:t>
      </w:r>
    </w:p>
    <w:p>
      <w:r>
        <w:t>4. Juli 2002, E. 2.2–2.5; Entscheid des Bundesstrafgerichts RR.2013.33 vom 29. Juli 2013, E. 2.1; ZIMMERMANN, a.a.O., N. 524–535).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