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RR.2013.217 vom 23. September 2013</w:t>
      </w:r>
    </w:p>
    <w:p>
      <w:r>
        <w:t>Bundesstrafgericht, 2013-09-23, FR</w:t>
      </w:r>
    </w:p>
    <w:p>
      <w:r>
        <w:rPr>
          <w:b/>
        </w:rPr>
        <w:t xml:space="preserve">Quelle: </w:t>
      </w:r>
      <w:r>
        <w:t>https://mcp.opencaselaw.ch/entscheid/bstger_RR.2013.217</w:t>
      </w:r>
    </w:p>
    <w:p>
      <w:r>
        <w:t>FR: TPF RR.2013.217 du 23 septembre 2013</w:t>
      </w:r>
    </w:p>
    <w:p>
      <w:r>
        <w:t>IT: TPF RR.2013.217 del 23 settembre 2013</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L’EIMP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Interjetés dans le délai de 30 jours dès la notification de la décision attaquée, les recours ont été déposés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leur qualité de titulaires du compte bancaire n° 2, respectivement du compte n° 1, ouverts auprès de la banque G. concernés par la décision de clôture, A. Ltd et B. disposent de la qualité pour recourir contre la remise aux autorités américaines de la documentation relative à leurs comptes.</w:t>
      </w:r>
    </w:p>
    <w:p>
      <w:r>
        <w:rPr>
          <w:b/>
        </w:rPr>
        <w:t>E. 1.5</w:t>
      </w:r>
    </w:p>
    <w:p>
      <w:r>
        <w:t>Les recours sont recevables,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w:t>
      </w:r>
    </w:p>
    <w:p>
      <w:r>
        <w:t>- 5 -</w:t>
      </w:r>
    </w:p>
    <w:p>
      <w:r>
        <w:t>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 KNEUBÜHLER, Prozessieren vor dem Bundesverwaltungsgericht, Bâle 2008, § 3.17, p. 115). En l'espèce, les recours sont interjetés à l’encontre d’une même décision de clôture. Ils reposent sur le même état de fait et l’argumentation juridique est fondée sur des griefs identiques. Au surplus, les deux recourants sont représentés par le même mandataire. Il se justifie de joindre les causes RR.2013.217 et RR.2013.218.</w:t>
      </w:r>
    </w:p>
    <w:p>
      <w:r>
        <w:rPr>
          <w:b/>
        </w:rPr>
        <w:t>E. 3</w:t>
      </w:r>
    </w:p>
    <w:p>
      <w:r>
        <w:t>Dans un premier moyen, les recourants invoquent une violation de l’art. 29 LTEJUS (recte: TEJUS), dans la mesure où la demande d’entraide des autorités américaines ne décrirait pas à satisfaction de droit les principaux faits allégués ou à établir. En particulier, si les autorités américaines procèdent à une description des principaux faits s’agissant de C. Inc., ses filiales et E., tel ne serait en revanche pas le cas s’agissant de B. Quant à A. Ltd, celle-ci ne serait pas nommément visée par la demande d’entraide.</w:t>
      </w:r>
    </w:p>
    <w:p>
      <w:r>
        <w:rPr>
          <w:b/>
        </w:rPr>
        <w:t>E. 3.1</w:t>
      </w:r>
    </w:p>
    <w:p>
      <w:r>
        <w:t>A teneur de l'art. 29 ch. 1 let. a TEJUS, l'autorité requérante doit indiquer l'objet et la nature de l'enquête et fournir une description des principaux faits allégués ou à établir. Cet exposé doit permettre de vérifier l'existence d'une "présomption raisonnable" au sens de l'art. 1er ch. 2 du traité, afin de prévenir les recherches indéterminées de moyens de preuve (ATF 118 Ib 547 consid. 3a p. 551). La partie requérante n'a en revanche pas à prouver, ni même à rendre vraisemblables les soupçons dont elle fait état, mais seulement à les exposer de manière suffisamment compréhensible. Tel est le sens de l'art. 29 ch. 1 let. a TEJUS, qui exige l'indication des faits "allégués ou à établir". Pour sa part, l'autorité suisse d'entraide n'a pas à se prononcer sur la vraisemblance de ces soupçons. Elle ne refusera sa collaboration qu'en cas de lacunes, d'erreurs ou de contradictions patentes, faisant apparaître la démarche de l'Etat requérant comme un abus manifeste (arrêts du Tribunal fédéral 1A.99/2006 du 4 juillet 2006, consid. 2.1; 1A.147/2004 du 13 septembre 2004, consid. 3.1).</w:t>
      </w:r>
    </w:p>
    <w:p>
      <w:r>
        <w:t>- 6 -</w:t>
      </w:r>
    </w:p>
    <w:p>
      <w:r>
        <w:t>De plus, l’octroi de l’entraide n’implique pas que la personne soumise à la mesure de contrainte dans l’Etat requis soit elle-même accusée dans l’Etat requérant. Il suffit que, dans ce dernier Etat, une procédure pénale soit ouverte à l’encontre d’une personne sur laquelle pèsent des charges donnant lieu à l’entraide et que des investigations en Suisse soient nécessaires pour les besoins de cette procédure (arrêt du Tribunal fédéral 1A.218/2002 du 9 janvier 2003, consid. 3.2; arrêts du Tribunal pénal fédéral RR.2009.64 du 27 août 2009, consid. 5.8; RR.2008.209 du 14 janvier 2009, consid. 2).</w:t>
      </w:r>
    </w:p>
    <w:p>
      <w:r>
        <w:rPr>
          <w:b/>
        </w:rPr>
        <w:t>E. 3.2</w:t>
      </w:r>
    </w:p>
    <w:p>
      <w:r>
        <w:t>En l’espèce, l'autorité requérante expose clairement en quoi consistent ses soupçons. Il ressort de la demande d’entraide et ses compléments, qu’entre 1989 et 2009, C. Inc. et ses filiales faisaient intervenir E. dans leurs relations commerciales avec la société F. en tant que prétendu agent et distributeur d’alumine de C. Inc. Le véritable rôle de E. consistait à servir d’intermédiaire corrompu dans le stratagème de C. Inc. d’offres de pots-de- vin à certains membres du gouvernement du pays Z., dont D., dans le but de sécuriser et d’acquérir les affaires de la société F. Dans ce contexte de fait, B. aurait été le coordinateur de D. quant aux pots-de-vin relatifs aux contrats nationaux du pays Z. avec la société F., contrats soumis à l’approbation notamment de D. L’enquête américaine a permis de déterminer que les paiements corruptifs relatifs à la vente d’alumine de C. Inc. à la société F. étaient effectués à partir de comptes d’entités écrans contrôlées par E. vers des comptes contrôlées par D. Les autorités américaines auraient identifié, parmi de nombreux autres, un transfert de UDS 500'000.-- intervenu le 27 juin 2002 depuis le compte de B. à la banque G. vers un compte contrôlé par D. En conséquence, les autorités américaines soupçonnent que ce transfert s’inscrit dans le schéma corruptif susmentionné. Les conditions posées à l'art. 29 ch. 1 let. a TEJUS sont manifestement remplies et la question de savoir exactement quel est le rôle joué par B. dans le schéma criminel sous enquête aux Etats-Unis, tout comme le fait que la société A. Ltd ne soit pas mentionnée expressément dans la commission rogatoire ne sont pas pertinents. Par ailleurs, la question de l’origine, licite ou non, des transactions mentionnées dans la commission rogatoire, tel le virement du 27 juin 2002, relève de la procédure au fond et n’a pas à être analysée dans le cadre de la procédure d’entraide.</w:t>
      </w:r>
    </w:p>
    <w:p>
      <w:r>
        <w:rPr>
          <w:b/>
        </w:rPr>
        <w:t>E. 3.3</w:t>
      </w:r>
    </w:p>
    <w:p>
      <w:r>
        <w:t>Le grief doit, partant, être rejeté.</w:t>
      </w:r>
    </w:p>
    <w:p>
      <w:r>
        <w:t>- 7 -</w:t>
      </w:r>
    </w:p>
    <w:p>
      <w:r>
        <w:rPr>
          <w:b/>
        </w:rPr>
        <w:t>E. 4</w:t>
      </w:r>
    </w:p>
    <w:p>
      <w:r>
        <w:t>Dans un second moyen, les recourants se plaignent d’une violation du principe de la proportionnalité. A ce titre, ils indiquent que la documentation bancaire à transmettre porte sur la période allant jusqu’au 5 octobre 2012, alors que l’autorité requérante n’a sollicité, dans la demande d’entraide, que celle pour la période du 1er janvier 1996 au 31 décembre 2009. De plus, ils arguent du fait que "les autorités américaines ne font état d’aucun élément concret permettant de penser que [les recourantes aient] pu jouer un rôle en relation avec les faits reprochés à E." (cause RR.2013.217, act. 1, p. 6). En ce qui concerne le compte ouvert au nom de B., seule la documentation bancaire relative au transfert de USD 500'000.-- intervenu le 27 juin 2002 dont il est fait mention dans la commission rogatoire devrait être transmise.</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w:t>
      </w:r>
    </w:p>
    <w:p>
      <w:r>
        <w:rPr>
          <w:b/>
        </w:rPr>
        <w:t>E. 4.2</w:t>
      </w:r>
    </w:p>
    <w:p>
      <w:r>
        <w:t>En l’espèce, la commission rogatoire américaine porte explicitement sur l’identification des comptes bancaires ouverts auprès de la banque G. contrôlés par B., soupçonné d’avoir été le coordinateur de D. quant aux dessous-de-table relatifs aux contrats nationaux du pays Z. avec la société F., et la transmission de la documentation y relative pour la période du 1er janvier 1996 au 31 décembre 2009. Tel est le cas du compte n° 1 dont B. est le titulaire et du compte n° 2, ouvert au nom de A. Ltd, dont B. est l’ayant droit économique. Au regard de la jurisprudence rappelée ci-dessus, la transmission de la documentation bancaire relative à ces comptes se justifie pour la période mentionnée dans la commission rogatoire. Ainsi, concernant le compte n° 1, la transmission n’a pas à être limitée à la seule documentation relative au transfert de USD 500'000.-- intervenu le 27 juin 2002 vers un compte contrôlé par D. et mentionné expressément dans la commission rogatoire. De plus, dans la mesure où la documentation bancaire relative aux comptes n° 1 et n° 2 pour la période subséquente au 31 décembre 2009 est susceptible d'apporter une lumière supplémentaire aux faits visés par l'enquête étrangère et qu’elle s’inscrit dans un rapport direct avec la demande d’entraide, on ne saurait raisonnablement prétendre que sa transmission serait disproportionnée ou injustifiée. Elle permet en outre d’éviter une nouvelle demande d’entraide qui pourrait intervenir lorsque l’autorité requérante aura pris connaissance de la documentation bancaire relative à la période explicitement mentionnée.</w:t>
      </w:r>
    </w:p>
    <w:p>
      <w:r>
        <w:rPr>
          <w:b/>
        </w:rPr>
        <w:t>E. 4.3</w:t>
      </w:r>
    </w:p>
    <w:p>
      <w:r>
        <w:t>Partant, le grief lié à la violation du principe de la proportionnalité ne peut être admis. 5. En conséquence, les recours doivent être rejetés. 6. En règle générale, les frais de procédure, comprenant l’émolument d’arrêté, les émoluments de chancellerie et les débours, sont mis à la charge de la partie qui succombe (art. 63 al. 1 PA, applicable par renvoi de</w:t>
      </w:r>
    </w:p>
    <w:p>
      <w:r>
        <w:t>- 10 -</w:t>
      </w:r>
    </w:p>
    <w:p>
      <w:r>
        <w:t>l’art. 39 al. 2 let. b LOAP). Le montant de l’émolument est calculé en fonction de l’ampleur et de la difficulté de la cause, de la façon de procéder des parties, de leur situation financière et des frais de chancellerie (art. 73 al. 2 LOAP). Les recourants qui succombent supporteront les frais du présent arrêt, lesquels se limitent à un émolument fixé à CHF 6'000.-- (art. 73 al. 2 LOAP et art. 8 al. 3 du règlement du Tribunal pénal fédéral sur les frais, émoluments, dépens et indemnités de la procédure pénale fédérale du 31 août 2010 [REPPF; RS 173.713.162] et art. 63 al. 5 PA), couverts par les avances de frais déjà versées. La caisse du Tribunal pénal fédéral restituera au conseil des recourants le solde par CHF 2'000.--.</w:t>
      </w:r>
    </w:p>
    <w:p>
      <w:r>
        <w:t>- 11 -</w:t>
      </w:r>
    </w:p>
    <w:p>
      <w:r>
        <w:rPr>
          <w:b/>
        </w:rPr>
        <w:t>E. 9</w:t>
      </w:r>
    </w:p>
    <w:p>
      <w:r>
        <w:t>avril 2009, consid. 2.2.4 et la jurisprudence citée).</w:t>
      </w:r>
    </w:p>
    <w:p>
      <w:r>
        <w:t>- 8 -</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aux Etats-Unis.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w:t>
      </w:r>
    </w:p>
    <w:p>
      <w:r>
        <w:t>- 9 -</w:t>
      </w:r>
    </w:p>
    <w:p>
      <w:r>
        <w:t>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3e éd., Berne 2009, n°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