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RR.2013.207 vom 22. Oktober 2013</w:t>
      </w:r>
    </w:p>
    <w:p>
      <w:r>
        <w:t>Bundesstrafgericht, 2013-10-22, DE</w:t>
      </w:r>
    </w:p>
    <w:p>
      <w:r>
        <w:rPr>
          <w:b/>
        </w:rPr>
        <w:t xml:space="preserve">Quelle: </w:t>
      </w:r>
      <w:r>
        <w:t>https://mcp.opencaselaw.ch/entscheid/bstger_RR.2013.207</w:t>
      </w:r>
    </w:p>
    <w:p>
      <w:r>
        <w:t>FR: TPF RR.2013.207 du 22 octobre 2013</w:t>
      </w:r>
    </w:p>
    <w:p>
      <w:r>
        <w:t>IT: TPF RR.2013.207 del 22 ottobre 2013</w:t>
      </w:r>
    </w:p>
    <w:p>
      <w:pPr>
        <w:pStyle w:val="Heading2"/>
      </w:pPr>
      <w:r>
        <w:t>Regeste</w:t>
      </w:r>
    </w:p>
    <w:p>
      <w:r>
        <w:t>Internationale Rechtshilfe in Strafsachen an Israel. Herausgabe von Beweismitteln (Art. 74 IRSG).</w:t>
      </w:r>
    </w:p>
    <w:p>
      <w:pPr>
        <w:pStyle w:val="Heading2"/>
      </w:pPr>
      <w:r>
        <w:t>Erwägungen</w:t>
      </w:r>
    </w:p>
    <w:p>
      <w:r>
        <w:rPr>
          <w:b/>
        </w:rPr>
        <w:t>E. 1</w:t>
      </w:r>
    </w:p>
    <w:p>
      <w:r>
        <w:t>Für die akzessorische Rechtshilfe zwischen der Schweiz und Israel sind in erster Linie die Bestimmungen des Europäischen Übereinkommens über die Rechtshilfe in Strafsachen vom 20. April 1959 (EUeR; SR 0.351.1) massgebend, welchem beide Staaten beigetreten sind. Soweit dieser Staatsvertrag bestimmte Fragen nicht abschliessend regelt, gelangt das schweizerische Landesrecht, namentlich das Bundesgesetz vom 20. März 1981 über internationale Rechtshilfe in Strafsachen (IRSG; SR 351.1) und die Verordnung vom 24. Februar 1982 über internationale Rechtshilfe in Strafsachen (IRSV; SR 351.11), zur Anwendung (vgl. Art. 1 Abs. 1 IRSG). Das innerstaatliche Recht gilt nach dem Günstigkeitsprinzip auch dann, wenn dieses geringere Anforderungen an die Rechtshilfe stellt (BGE 137 IV 33 E. 2.2.2; 136 IV 82 E. 3.1; 129 II 462 E. 1.1 S. 464). Vorbehalten bleibt die Wahrung der Menschenrechte (BGE 135 IV 212; 123 II 595 E. 7c).</w:t>
      </w:r>
    </w:p>
    <w:p>
      <w:r>
        <w:rPr>
          <w:b/>
        </w:rPr>
        <w:t>E. 2.1</w:t>
      </w:r>
    </w:p>
    <w:p>
      <w:r>
        <w:t>Die Verfügung der ausführenden kantonalen Behörde oder der ausführen- den Bundesbehörde, mit der das Rechtshilfeverfahren abgeschlossen wird, unterliegt zusammen mit den vorangehenden Zwischenverfügungen der Beschwerde an die Beschwerdekammer des Bundesstrafgerichts (Art. 80e Abs. 1 i.V.m. Art. 80k IRSG; Art. 37 Abs. 2 lit. a Ziff. 1 StBOG; Art. 19 Abs. 1 des Organisationsreglements vom 31. August 2010 für das Bundes- strafgericht [BStGerOR; SR 173.713.161]).</w:t>
      </w:r>
    </w:p>
    <w:p>
      <w:r>
        <w:rPr>
          <w:b/>
        </w:rPr>
        <w:t>E. 2.2.1</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w:t>
      </w:r>
    </w:p>
    <w:p>
      <w:r>
        <w:t>Nach der Rechtsprechung liegt ein schutzwürdiges Interesse nicht schon dann vor, wenn jemand irgendeine Beziehung zum Streitobjekt zu haben behauptet. Vielmehr ist zur Bejahung der Legitimation erforderlich, dass der angefochtene Entscheid den Beschwerdeführer in stärkerem Masse be- rührt als die Allgemeinheit der Bürger, bzw. eine vom einschlägigen Bun- desrecht erfasste spezifische Beziehungsnähe gegeben ist. Die Recht- sprechung anerkennt deshalb die Legitimation jeder natürlichen oder juris- tischen Person, die von einer Rechtshilfemassnahme unmittelbar berührt wird, verneint dagegen die Beschwerdebefugnis von Personen, die nur mit-</w:t>
      </w:r>
    </w:p>
    <w:p>
      <w:r>
        <w:t>- 6 -</w:t>
      </w:r>
    </w:p>
    <w:p>
      <w:r>
        <w:t>telbar von der angefochtenen Verfügung betroffen sind (zum Ganzen BGE 130 II 162 E. 1.1; 128 II 211 E. 2.3; 123 II 153 E. 2b, je m.w.H.).</w:t>
      </w:r>
    </w:p>
    <w:p>
      <w:r>
        <w:t>Als persönlich und direkt betroffen im Sinne von Art. 21 Abs. 3 und Art. 80h lit. b IRSG gilt bei der Erhebung von Kontoinformationen der Kontoinhaber (Art. 9a lit. a IRSV) und bei der Hausdurchsuchung der Eigentümer oder der Mieter (Art. 9a lit. b IRSV). Nicht zur Beschwerde befugt ist dagegen der Verfasser von Schriftstücken, die im Besitze eines Dritten beschlag- nahmt wurden (BGE 130 II 162 E. 1.1; 123 II 161 E. 1d; 116 Ib 106 E. 2a). Persönlich und direkt betroffen ist nur, wer sich in der Schweiz selber einer bestimmten Rechtshilfemassnahme zu unterwerfen hat (BGE 116 Ib 106 E. 2a).</w:t>
      </w:r>
    </w:p>
    <w:p>
      <w:r>
        <w:rPr>
          <w:b/>
        </w:rPr>
        <w:t>E. 2.2.2</w:t>
      </w:r>
    </w:p>
    <w:p>
      <w:r>
        <w:t>Ordnet die ausführende Behörde die rechtshilfeweise Herausgabe eines Einvernahmeprotokolls an, gilt es mit Blick auf die Beschwerdelegitimation zu unterscheiden, ob die betreffende Einvernahme bereits im Rahmen ei- nes schweizerischen Strafverfahrens oder auf Rechtshilfeersuchen hin er- folgt ist (s. dazu im Einzelnen Entscheid des Bundesstrafgerichts RR.2012.268 vom 2. Mai 2013, E. 2.2). Das Bundesgericht ist in den Ent- scheiden 1A.186/2005 und 1A.187/2005 vom 9. Dezember 2005, je E. 1.3.3 auf die Beschwerden der im Rahmen eines nationalen Strafverfah- rens einvernommenen Zeugen bzw. einer Auskunftsperson gegen die rechtshilfeweise Herausgabe des Einvernahmeprotokolls nicht eingetreten, dies unter anderem mit der Begründung, das Einvernahmeprotokoll hätte sich nicht im Besitz des Beschwerdeführers befunden, er sei folglich nicht gezwungen gewesen, dieses herauszugeben, weshalb er im Rechtshilfe- verfahren von keiner Massnahme unmittelbar betroffen sei. Die (II.) Be- schwerdekammer des Bundesstrafgerichts hat diese Rechtsprechung auch in Bezug auf die Herausgabe des Protokolls der Einvernahme eines Be- schuldigten übernommen und die Beschwerdelegitimation des Einvernom- menen verneint, zumindest in Fällen, wo das Rechtshilfeersuchen klar nach der Eröffnung des nationalen Strafverfahrens bzw. nach der Einvernahme im Rahmen dieses Strafverfahrens ergangen ist, jedoch anerkannt, dass unter Umständen anders zu entscheiden ist, wenn das nationale Strafver- fahren erst im Anschluss an eine Reihe von Rechtshilfeersuchen eröffnet wurde und dieses mit dem im ersuchenden Staat hängigen Strafverfahren in einem direkten Zusammenhang steht (Entscheid des Bundesstrafge- richts RR.2007.17 vom 30. April 2007, E. 1.6.2 sowie der Nichteintretens- entscheid des Bundesgerichts 1C.106/2007 vom 21. Mai 2007 dazu).</w:t>
      </w:r>
    </w:p>
    <w:p>
      <w:r>
        <w:t>Hinsichtlich der im Rahmen eines nationalen Strafverfahrens aufgrund ei- ner Hausdurchsuchung beschlagnahmten Unterlagen hat es das Bundes-</w:t>
      </w:r>
    </w:p>
    <w:p>
      <w:r>
        <w:t>- 7 -</w:t>
      </w:r>
    </w:p>
    <w:p>
      <w:r>
        <w:t>gericht offen gelassen, ob der Eigentümer oder Mieter zur Beschwerde ge- gen die rechtshilfeweise Herausgabe dieser Unterlagen legitimiert ist (Urteil des Bundesgerichts 1A.123/2006 vom 28. August 2006, E. 1.3.3). Die (II.) Beschwerdekammer des Bundesstrafgerichts hat schliesslich in einem Entscheid vom 19. Dezember 2007 (RR.2007.112 E. 2.5) erwogen, dass es sich anders als beim Protokoll einer Zeugen- bzw. Beschuldigten- einvernahme bei Unterlagen aus einer Hausdurchsuchung nicht um von der Strafverfolgungsbehörde erstellte Verfahrensakten im engeren Sinne handle und hat dementsprechend die Beschwerdelegitimation bejaht.</w:t>
      </w:r>
    </w:p>
    <w:p>
      <w:r>
        <w:t>Wurden aufgrund eines schweizerischen Strafverfahrens Kontounterlagen ediert, hat das Bundesgericht den Kontoinhaber ohne weiteres in Bezug auf die rechtshilfeweise Herausgabe dieser Unterlagen als beschwerdelegi- timiert erachtet (vgl. beispielsweise Urteil des Bundesgerichts 1A.3/2004 vom 3. Mai 2004, E. 2.2). Entsprechend hat dies auch für Unterlagen zu gelten, die Informationen enthalten, welche aus den Kontounterlagen stammen, oder Unterlagen, welche Hinweise auf das Konto enthalten.</w:t>
      </w:r>
    </w:p>
    <w:p>
      <w:r>
        <w:rPr>
          <w:b/>
        </w:rPr>
        <w:t>E. 2.2.3</w:t>
      </w:r>
    </w:p>
    <w:p>
      <w:r>
        <w:t>Die Beschwerdeführer sind nach dem Gesagten in Bezug auf die Heraus- gabe der Bankunterlagen betreffend die auf sie lautenden Konten zur Be- schwerde legitimiert. Was die angefochtene Herausgabe der Einvernah- meprotokolle anbelangt, wurden zwar beide Beschwerdeführer am 14. bzw. 15. September 2010 und somit vor Eingang des israelischen Rechtshilfeer- suchens vom 6. Februar 2012 einvernommen. Allerdings werden beide Be- schwerdeführer ausführlich auch zu ihren Konten befragt, weshalb sie im Lichte der zitierten Rechtsprechung ebenfalls in diesem Punkt beschwerde- legitimiert sind.</w:t>
      </w:r>
    </w:p>
    <w:p>
      <w:r>
        <w:rPr>
          <w:b/>
        </w:rPr>
        <w:t>E. 2.3</w:t>
      </w:r>
    </w:p>
    <w:p>
      <w:r>
        <w:t>Da die Beschwerde zudem fristgerecht eingereicht wurde, ist folglich darauf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w:t>
      </w:r>
    </w:p>
    <w:p>
      <w:r>
        <w:t>Ebenso wenig muss sich die urteilende Instanz nach der bundesgerichtli- chen Rechtsprechung mit allen Parteistandpunkten einlässlich auseinan- dersetzen und jedes einzelne Vorbringen ausdrücklich widerlegen. Sie kann sich auf die für ihren Entscheid wesentlichen Punkte beschränken</w:t>
      </w:r>
    </w:p>
    <w:p>
      <w:r>
        <w:t>- 8 -</w:t>
      </w:r>
    </w:p>
    <w:p>
      <w:r>
        <w:t>und es genügt, wenn die Behörde wenigstens kurz die Überlegungen nennt, von denen sie sich leiten liess und auf welche sich ihr Entscheid stützt (Urteil des Bundesgerichts 1A.59/2004 vom 16. Juli 2004, E. 5.2 m.w.H.).</w:t>
      </w:r>
    </w:p>
    <w:p>
      <w:r>
        <w:rPr>
          <w:b/>
        </w:rPr>
        <w:t>E. 4.1</w:t>
      </w:r>
    </w:p>
    <w:p>
      <w:r>
        <w:t>Die Beschwerdeführer rügen in einem ersten Punkt eine Verletzung von Art. 14 EUeR und Art. 28 IRSG. Zur Begründung wird ausgeführt, entgegen der nicht mehr aktuellen Dar- stellung im Rechtshilfeersuchen werde in Israel gegen C. keine Strafunter- suchung mehr geführt. Nachdem C. zwischenzeitlich von den peruanischen Behörden an Israel ausgeliefert worden sei, hätten die israelischen Straf- verfolgungsbehörden einen Vergleich mit ihm abgeschlossen. C. werde wegen der untersuchten Bestechungsvorwürfe und weiterer Delikte mit ei- ner Freiheitsstrafe von 6 Jahren, abzüglich 6 Monate erstandener Ausliefe- rungs- und Untersuchungshaft, belegt werden. Darüber hinaus werde ein Teil seines Vermögens beschlagnahmt. Das zuständige Strafgericht in Tel Aviv habe den Vergleich zwischen C. und den israelischen Strafverfol- gungsbehörden am 11. Juli 2013 genehmigt. Allein der formelle Urteils- spruch stehe noch aus. Bei dieser neuen Ausgangslage sei die Sachverhaltsdarstellung im Rechtshilfeersuchen des Ministry of Justice Is- rael vom 6. Februar 2012 nicht mehr aktuell und damit offenkundig fehler- haft. Aufgrund der überholten Sachverhaltsdarstellung lasse sich heute nicht mehr verlässlich überprüfen, ob die beantragte Rechtshilfe nach Art und Umfang dem Verhältnismässigkeitsgrundsatz entspreche. Weshalb die israelischen Strafverfolgungsbehörden weiterhin auf die angeforderten Be- weismittel aus der Schweiz angewiesen sein sollen, nachdem das Strafver- fahren gegen C. inzwischen abgeschlossen sei, gehe aus dem Rechtshil- feersuchen nicht hervor und sei auch nicht ersichtlich. Damit könne die Schweiz dem Rechtshilfeersuchen keine Folge leisten. Eventualiter sei das Verfahren zurückzuweisen, verbunden mit der Auflage, von den israeli- schen Behörden eine Erklärung darüber einzuholen, ob und gegebenen- falls weshalb die Herausgabe der im Rechtshilfeersuchen verlangten In- formationen weiterhin erforderlich sein soll (act. 1 S. 7 f.). Mit Eingabe vom 3. Oktober 2013 reichen sie einen Auszug aus der "Haaretz" vom 1. Oktober 2013 ein. Diesem sei zu entnehmen, dass das zuständige Gericht in Israel C. inzwischen verurteilt und den Urteilsvor- schlag der Staatsanwaltschaft bestätigt habe (act. 9 und 9.1).</w:t>
      </w:r>
    </w:p>
    <w:p>
      <w:r>
        <w:t>- 9 -</w:t>
      </w:r>
    </w:p>
    <w:p>
      <w:r>
        <w:rPr>
          <w:b/>
        </w:rPr>
        <w:t>E. 4.2</w:t>
      </w:r>
    </w:p>
    <w:p>
      <w:r>
        <w:t>In formeller Hinsicht muss das Rechtshilfeersuchen insbesondere Angaben über den Gegenstand und den Grund des Ersuchens enthalten (Art. 14 Ziff. 1 lit. b EUeR). Ausserdem muss das Ersuchen in Fällen wie dem vorliegenden die strafbare Handlung bezeichnen und eine kurze Dar- stellung des Sachverhalts enthalten (Art. 14 Ziff. 2 EUeR). Art. 28 Abs. 2 und 3 IRSG i. V. m. Art. 10 IRSV stellen entsprechende Anforderungen an das Rechtshilfeersuchen. Diese Angaben müssen der ersuchten Behörde allerdings nur die Prüfung erlauben, ob die doppelte Strafbarkeit gegeben ist (vgl. Art. 5 Ziff. 1 lit. a EUeR), ob die Handlungen wegen denen um Rechtshilfe ersucht wird, nicht politische oder fiskalische Delikte darstellen (Art. 2 lit. a EUeR) und ob der Grundsatz der Verhältnismässigkeit gewahrt wird (vgl. statt vieler Entscheid des Bundesstrafgerichts RR.2009.324 vom 28. Juli 2010, E. 3.2 sowie BGE 129 II 97 E. 3.1 S. 98 m. w. H.). Der Rechtshilferichter hat weder Tat- noch Schuldfragen zu prüfen und grund- sätzlich auch keine Beweiswürdigung vorzunehmen, sondern ist vielmehr an die Sachdarstellung im Ersuchen gebunden, soweit sie nicht durch of- fensichtliche Fehler, Lücken oder Widersprüche sofort entkräftet wird (vgl. BGE 132 II 81 E. 2.1 S. 85 mit Hinweisen; Urteil des Bundesgerichts 1A.90/2006 vom 30. August 2006, E. 2.1; Entscheid des Bundesstrafge- richts RR.2009.324, E. 3.2; TPF 2007 150 E. 3.2.4).</w:t>
      </w:r>
    </w:p>
    <w:p>
      <w:r>
        <w:rPr>
          <w:b/>
        </w:rPr>
        <w:t>E. 4.3</w:t>
      </w:r>
    </w:p>
    <w:p>
      <w:r>
        <w:t>Die internationale Rechtshilfe in Strafsachen kann nur gewährt werden, wenn dies der strafrechtlichen Verfolgung im ersuchenden Staat dient, was voraussetzt, dass im ersuchenden Staat ein Strafverfahren eröffnet wurde (vgl. Urteil des Bundesgerichts 1A.149/2006 vom 27. November 2006, E. 3.2; BGE 123 II 161 E. 3a S. 165; 118 Ib 457 E. 4b S. 460; Entscheid des Bundesstrafgerichts RR.2007.89 vom 20. August 2007 E. 3.2; s. auch Art. 1 Ziff. 1 EUeR e contrario [Urteil des Bundesgerichts 1A.32/2000 vom 19. Juni 2000, E. 7]). Ist in der Schweiz ein gültiges Rechtshilfeersuchen eingegangen, so hat sich die ersuchte Behörde jedoch grundsätzlich nicht zu den zwischenzeitlich im ersuchenden Staat ergangenen Entscheiden zu äussern. Das Rechtshilfeersuchen ist im Prinzip zu erledigen, es sei denn, die zuständige Behörde hätte den Rückzug des Ersuchens bekannt gege- ben (Entscheid des Bundesstrafgerichts RR.2007.99+111 vom 10. Sep- tember 2007, E. 5).</w:t>
      </w:r>
    </w:p>
    <w:p>
      <w:r>
        <w:rPr>
          <w:b/>
        </w:rPr>
        <w:t>E. 4.4</w:t>
      </w:r>
    </w:p>
    <w:p>
      <w:r>
        <w:t>Gemäss dem Rechtshilfeersuchen des israelischen Justizministeriums vom</w:t>
      </w:r>
    </w:p>
    <w:p>
      <w:r>
        <w:rPr>
          <w:b/>
        </w:rPr>
        <w:t>E. 6</w:t>
      </w:r>
    </w:p>
    <w:p>
      <w:r>
        <w:t>Zusammenfassend erweisen sich alle Rügen der Beschwerdeführer gegen die Beweismittelherausgabe als unbegründet, weshalb die Beschwerde insgesamt abzuweisen ist.</w:t>
      </w:r>
    </w:p>
    <w:p>
      <w:r>
        <w:rPr>
          <w:b/>
        </w:rPr>
        <w:t>E. 7</w:t>
      </w:r>
    </w:p>
    <w:p>
      <w:r>
        <w:t>Bei diesem Ausgang des Verfahrens werden die Beschwerdeführer kosten- pflichtig (Art. 63 Abs. 1 VwVG i.V.m. Art. 39 Abs. 2 lit. b StBOG). Für die Berechnung der Gerichtsgebühr gelangt gemäss Art. 63 Abs. 5 VwVG i.V.m. Art. 73 StBOG das Reglement des Bundesstrafgerichts über die Kos- ten, Gebühren und Entschädigungen in Bundesstrafverfahren vom 31. Au- gust 2010 (BStKR; SR 173.713.162) zur Anwendung. Die Gerichtsgebühr ist vorliegend auf Fr. 5'000.-- festzusetzen (vgl. Art. 8 des Reglements), un- ter Anrechnung des geleisteten Kostenvorschusses in gleicher Höhe.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