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RR.2013.205 vom 5. November 2013</w:t>
      </w:r>
    </w:p>
    <w:p>
      <w:r>
        <w:t>Bundesstrafgericht, 2013-11-05, FR</w:t>
      </w:r>
    </w:p>
    <w:p>
      <w:r>
        <w:rPr>
          <w:b/>
        </w:rPr>
        <w:t xml:space="preserve">Quelle: </w:t>
      </w:r>
      <w:r>
        <w:t>https://mcp.opencaselaw.ch/entscheid/bstger_RR.2013.205</w:t>
      </w:r>
    </w:p>
    <w:p>
      <w:r>
        <w:t>FR: TPF RR.2013.205 du 5 novembre 2013</w:t>
      </w:r>
    </w:p>
    <w:p>
      <w:r>
        <w:t>IT: TPF RR.2013.205 del 5 novembre 2013</w:t>
      </w:r>
    </w:p>
    <w:p>
      <w:pPr>
        <w:pStyle w:val="Heading2"/>
      </w:pPr>
      <w:r>
        <w:t>Regeste</w:t>
      </w:r>
    </w:p>
    <w:p>
      <w:r>
        <w:t>Entraide judiciaire internationale en matière pénale à la Suède. Remise de moyens de preuve (art. 74 EIMP).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1 du règlement du 31 août 2010 sur l’organisation du Tribu- nal pénal fédéral (ROTPF; RS 173.713.161), la Cour des plaintes du Tribu- nal pénal fédéral est compétente pour connaître des recours dirigés contre les décisions de clôture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EIMP et 39 al. 2 let. c LOAP, l’institution de la jonc- tion des causes est néanmoins admise en pratique (v. arrêts du Tribunal pénal fédéral RR.2008.190 du 26 février 2009, consid. 1; RR.2008.216 + RR.2008.225-230 du 20 novembre 2008, consid. 1.2; MO- SER/BEUSCH/KNEUBÜHLER, Prozessieren vor dem Bundesverwaltungsge- richt, Bâle 2008, § 3.17, p. 115). En l’espèce, il se justifie de joindre les causes RR.2013.205 et RR.2013.206, ce d’autant que les deux recours sont formés par la même entité juridique, laquelle ne fait au demeurant pas valoir d’intérêts contradictoires qui commanderaient un prononcé séparé; il appert pour le surplus que le même conseil est l'auteur des deux recours, lesquels soulèvent en tous points les mêmes arguments.</w:t>
      </w:r>
    </w:p>
    <w:p>
      <w:r>
        <w:t>- 6 -</w:t>
      </w:r>
    </w:p>
    <w:p>
      <w:r>
        <w:rPr>
          <w:b/>
        </w:rPr>
        <w:t>E. 1.3</w:t>
      </w:r>
    </w:p>
    <w:p>
      <w:r>
        <w:t>En tant que titulaire du compte no 1 auprès de la banque G., d'une part, et du compte no 2 auprès de la banque H., d'autre part, la recourante a la qualité pour recourir contre la transmission à l’autorité requérante d’informations relatives à ces comptes (art. 80h let. b et 80e al. 1 EIMP mis en relation avec l’art. 9a let. a OEIMP; TPF 2007 77 consid. 1.6 p. 82). Formés dans le délai de 30 jours à compter de la communication écrite des décisions querellées, les recours sont recevables en la forme (art. 80k EIMP).</w:t>
      </w:r>
    </w:p>
    <w:p>
      <w:r>
        <w:rPr>
          <w:b/>
        </w:rPr>
        <w:t>E. 2</w:t>
      </w:r>
    </w:p>
    <w:p>
      <w:r>
        <w:t>L'entraide judiciaire entre la Suède et la Confédération suisse est prioritai- rement régie par la Convention européenne d’entraide judiciaire en matière pénale (CEEJ; RS 0.351.1), entrée en vigueur pour la Suisse le 20 mars 1967 et pour la Suède le 1er mai 1968. Peut également s’appliquer en l’occurrence la Convention du Conseil de l’Europe relative au blanchiment, au dépistage, à la saisie et à la confiscation des produits du crime (CBl; RS 0.311.53).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ces deux Etats. Les dispositions de ces traités l’emportent sur le droit auto- nome qui régit la matière, soit l'EIMP et son ordonnance d'exécution (OEIMP; RS 351.11). Le droit interne reste toutefois applicable aux ques- tions non réglées, explicitement ou implicitement, par le traité et lorsqu’il est plus favorable à l’entraide (ATF 137 IV 33 consid. 2.2.2 et les références ci- tées), ce qui est valable aussi dans le rapport entre elles des normes inter- nationales (v. art. 48 ch. 2 CAAS et art. 39 ch. 2 CBl). L’application de la norme la plus favorable doit avoir lieu dans le respect des droits fondamen- taux (ATF 135 IV 212 consid. 2.3; 123 II 595 consid. 7c).</w:t>
      </w:r>
    </w:p>
    <w:p>
      <w:r>
        <w:rPr>
          <w:b/>
        </w:rPr>
        <w:t>E. 3</w:t>
      </w:r>
    </w:p>
    <w:p>
      <w:r>
        <w:t>Par un grief d'ordre formel qu'il convient d'examiner en premier lieu, la re- courante se plaint d'une violation de son droit d'être entendue. Elle repro- che à l'autorité d'exécution de ne lui avoir communiqué le second complé- ment à la demande d'entraide qu'une fois rendues les ordonnances de clô- ture ici attaquées (act. 1 et 2, p. 12 ch. 14 in fine). Elle aurait ainsi été pri- vée du droit de s'exprimer en toute connaissance de cause avant le pro- noncé desdites ordonnances.</w:t>
      </w:r>
    </w:p>
    <w:p>
      <w:r>
        <w:t>- 7 -</w:t>
      </w:r>
    </w:p>
    <w:p>
      <w:r>
        <w:rPr>
          <w:b/>
        </w:rPr>
        <w:t>E. 3.1.1</w:t>
      </w:r>
    </w:p>
    <w:p>
      <w:r>
        <w:t>Le droit du particulier de s’exprimer avant qu’une décision le concernant ne soit prise découle de son droit d’être entendu (v. art. 29 al. 2 Cst. et art. 29 ss PA). En matière d'entraide, la jurisprudence a fixé les étapes sui- vantes à observer en lien avec le respect du droit d'être entendu de la per- sonne touchée (ATF 130 II 14 consid. 4.4). Ainsi, après avoir saisi les do- cuments qu'elle juge utiles pour l'exécution de la demande, l'autorité d'exé- cution trie les pièces à remettre en vue du prononcé d'une décision de clô- ture (qui peut être partielle). Cette opération doit intervenir dans un délai assez rapproché, afin d'atténuer le dommage causé par la saisie au déten- teur. La participation à cette fin du magistrat chargé de la poursuite dans l'Etat requérant, prévue par l'art. 65a EIMP, peut représenter pour elle une aide précieuse. Lorsqu'elle accepte une demande qui lui est présentée dans ce sens, l'autorité d'exécution procède au tri des pièces en présence du magistrat étranger, et veille à respecter le droit d'être entendu du déten- teur de ces dernières dans le cadre des opérations de tri (v. arrêts du Tri- bunal pénal fédéral RR.2012.81 du 12 décembre 2012, consid. 2.2.1; RR.2010.262 du 11 juin 2012, consid. 6.3 p. 27; RR.2009.37-38 du 2 sep- tembre 2009, consid. 4.3). Cela étant, un accord éventuel de la part du dé- tenteur permet une remise facilitée au sens de l'art. 80c EIMP. A défaut d'un tel accord, l'autorité d'exécution fait alors établir un inventaire précis des pièces dont la remise est contestée. Elle impartit au détenteur un délai (qui peut être bref) pour faire valoir, pièce par pièce, les arguments s'oppo- sant selon lui à la transmission. Après quoi, l'autorité d'exécution rend une décision soigneusement motivée (ATF 130 II 14 consid. 4.4).</w:t>
      </w:r>
    </w:p>
    <w:p>
      <w:r>
        <w:rPr>
          <w:b/>
        </w:rPr>
        <w:t>E. 3.1.2</w:t>
      </w:r>
    </w:p>
    <w:p>
      <w:r>
        <w:t>Toujours en lien avec le respect du droit d'être entendu, et s'agissant plus particulièrement des éléments sur lesquels la personne touchée par la me- sure d'entraide doit pouvoir se déterminer avant qu'une décision ne soit rendue par l'autorité d'exécution, il convient encore de rappeler ce qui suit. Sous réserve d'une suppression ou d'une limitation de l'accès au dossier pour des raisons propres à telle ou telle procédure particulière (v. arrêt du Tribunal pénal fédéral RR.2011.180+214 du 29 novembre 2011, consid. 2.1), la personne touchée doit en principe pouvoir se déterminer sur l'en- semble des éléments sur lesquels l'autorité se fondera pour rendre sa déci- sion (v. MOREILLON/DUPUIS/MAZOU, La pratique judiciaire du Tribunal pénal fédéral en 2011, in Journal des Tribunaux 2012, p. 2 ss, p. 27 no 88). Cela vaut non seulement pour la demande d'entraide principale, mais également pour les éventuelles requêtes complémentaires ultérieures.</w:t>
      </w:r>
    </w:p>
    <w:p>
      <w:r>
        <w:rPr>
          <w:b/>
        </w:rPr>
        <w:t>E. 3.2</w:t>
      </w:r>
    </w:p>
    <w:p>
      <w:r>
        <w:t>En l'espèce, force est de constater que si la plupart des principes exposés ci-avant ont été respectés par l'autorité d'exécution, la recourante n'a toute-</w:t>
      </w:r>
    </w:p>
    <w:p>
      <w:r>
        <w:t>- 8 -</w:t>
      </w:r>
    </w:p>
    <w:p>
      <w:r>
        <w:t>fois eu connaissance du second complément à la requête d'entraide (du 30.05.2013), qu'après que les deux décisions de clôture entreprises ont été rendues. Il apparaît ainsi que la recourante n'a pas pu se déterminer en connaissance de cause sur le complément en question, ce alors même que l'autorité d'exécution cite expressément le second complément en en-tête des décisions entreprises, ce dont on déduit qu'elle s'est également fondée sur celui-là pour statuer. Violation du droit d'être entendu il y a donc eu en l'espèce, laquelle aurait au demeurant pu être évitée si l'autorité d'exécu- tion avait, comme cela devrait être la règle, rendu une ordonnance d'entrée en matière complémentaire – dûment notifiée aux parties – pour chaque complément à la demande d'entraide principale reçus des autorités suédoi- ses.</w:t>
      </w:r>
    </w:p>
    <w:p>
      <w:r>
        <w:rPr>
          <w:b/>
        </w:rPr>
        <w:t>E. 3.3</w:t>
      </w:r>
    </w:p>
    <w:p>
      <w:r>
        <w:t>Cela étant, même si une violation du droit d'être entendu est commise par l'autorité d'exécution, la procédure de recours devant la Cour des plaintes en permet exceptionnellement la réparation, la Cour de céans disposant du même pouvoir d’examen que l’autorité précédente (art. 49 let. a PA, appli- cable par renvoi de l’art. 39 al. 2 let. b LOAP; TPF 2008 172 consid. 2.3; 2007 57 consid. 3.2; ZIMMERMANN, La coopération judiciaire internationale en matière pénale, 3e éd., Berne 2009, n° 486 et les arrêts cités). En l'es- pèce, la recourante a pu s'exprimer largement et en pleine connaissance de cause devant l'autorité de céans, laquelle dispose d'un libre pouvoir d'examen, de sorte que la violation du droit d'être entendu commise par l'autorité d'exécution peut être réparée dans le cadre de la présente procé- dure de recours. Il sera toutefois tenu compte du fait que le grief tiré de la violation du droit d'être entendu n'était pas infondé, lors du calcul de l'émo- lument judiciaire (v. infra consid. 7).</w:t>
      </w:r>
    </w:p>
    <w:p>
      <w:r>
        <w:rPr>
          <w:b/>
        </w:rPr>
        <w:t>E. 4</w:t>
      </w:r>
    </w:p>
    <w:p>
      <w:r>
        <w:t>Sur le fond, la recourante estime d'abord que le contenu de la demande d’entraide suédoise ne satisferait pas aux exigences légales en la matière (act. 1 et 2, p. 9 ss), et ne permettrait notamment pas de comprendre en quoi les faits allégués seraient constitutifs d'une infraction pénale au regard du droit suisse.</w:t>
      </w:r>
    </w:p>
    <w:p>
      <w:r>
        <w:rPr>
          <w:b/>
        </w:rPr>
        <w:t>E. 4.1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w:t>
      </w:r>
    </w:p>
    <w:p>
      <w:r>
        <w:t>- 9 -</w:t>
      </w:r>
    </w:p>
    <w:p>
      <w:r>
        <w:t>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4.2</w:t>
      </w:r>
    </w:p>
    <w:p>
      <w:r>
        <w:t>En l'espèce, la demande a été présentée en lien avec une enquête judiciai- re suédoise portant sur des soupçons de corruption aggravée. Il ressort des faits présentés à l’appui de la requête suédoise que les autorités de ce pays soupçonnent une ou plusieurs personnes d'avoir versé, respective- ment perçu des pots-de-vin en lien avec l'acquisition d'une licence de télé- phonie 3G en Ouzbékistan par la société de téléphonie suédo-finlandaise</w:t>
      </w:r>
    </w:p>
    <w:p>
      <w:r>
        <w:t>- 10 -</w:t>
      </w:r>
    </w:p>
    <w:p>
      <w:r>
        <w:t>TeliaSonera. Les pots-de-vin auraient notamment, et pour partie, été ver- sés en faveur de la recourante A. Ltd, société immatriculée à Gibraltar dont le "Director" et actionnaire enregistré est une dénommée E., citoyenne ouzbek décrite comme "une amie très proche" de Gulnara Karimova, fille du président ouzbek en exercice, et que la documentation bancaire au dossier présente notamment comme une associée de la famille présiden- tielle Karimov ("associate of Karimov family", pièce MPC 07-01-01-0172). Or il apparaîtrait aujourd'hui que ladite A. Ltd, d'abord présentée comme le partenaire contractuel de TeliaSonera sensé avoir cédé sa licence à cette dernière, n'aurait en fait jamais été au bénéfice d'une quelconque licence. On comprend donc de la demande d'entraide suédoise que l'autorité requé- rante éprouve des doutes quant à la nature – et au fondement – du contrat passé entre TeliaSonera et A. Ltd, et soupçonne la seconde de n'être en définitive qu'un véhicule utilisé par les proches du pouvoir ouzbek, sinon le pouvoir lui-même par l'intermédiaire de la fille du président, pour percevoir des pots-de-vin en contrepartie de l'influence que ces derniers sont en me- sure d'exercer sur l'octroi de marchés publics, tels que celui de la télépho- nie 3G en l'espèce. Pareil comportement réalise à première vue les condi- tions objectives de corruption passive d'agents publics étrangers au sens de l'art. 322septies al. 2 CP. Il y a en effet lieu de rappeler ici que la notion de "membre d’une autorité" au sens de cette disposition, doit être interprétée largement (v. arrêt du Tribunal pénal fédéral BB.2012.101 du 22 janvier 2013, consid. 2.3 et les références citées, dont PERRIN, La répression de la corruption d’agents publics étrangers en droit pénal suisse, Bâle 2008, p. 132). Ainsi, les membres d’une autorité peuvent, à l'instar de ce qui est retenu pour les fonctionnaires (v. arrêt BB.2012.101 cité et les références), eux aussi exister de droit ou de fait. Dans ce dernier cas, il n’existe aucun rapport de service et ils exercent leur pouvoir de par leur seule situation. En l'espèce, et notamment au vu des diverses charges diplomatiques exer- cées à ce jour par Gulnara Karimova pour le compte de l'Ouzbékistan (v. www.gulnarakarimova.com; v. également Trustfull Paul, "A Woman of Substance by all standards", in The Forbes Custom, 11 janvier 2013; "Uz- bekistan: President's elder daughter named Deputy Foreign", in The Forbes Custom, 14 janvier 2013; Carlin John, "Laporta y la diva uzbeca. El presi- dente del Barcelona ha hecho negocios con la hija del presidente del régi- men del país asiático y uno de los peores tiranos del mundo, donde existen la tortura y el esclavismo", in El Pais, 9 mai 2010; "Mise en cause par di- vers médias en Suisse dans un dossier judiciaire, la fille du président de l'Ouzbékistan donne sa version des faits", in Bilan.ch, 11 mars 2013), pays dirigé par le propre père de cette dernière, il n'est pas insoutenable de re- tenir qu'elle exerce un pouvoir de fait de par sa seule situation, et qu'elle puisse être assimilée à un membre d'une autorité.</w:t>
      </w:r>
    </w:p>
    <w:p>
      <w:r>
        <w:t>- 11 -</w:t>
      </w:r>
    </w:p>
    <w:p>
      <w:r>
        <w:t>En conclusion, les faits tels qu'exposés dans la demande d'entraide et rela- tés en partie au considérant précédent, seraient susceptibles de tomber – s'ils étaient transposés en droit suisse – sous le coup de l'art. 322septies al. 2 CP susmentionné.</w:t>
      </w:r>
    </w:p>
    <w:p>
      <w:r>
        <w:rPr>
          <w:b/>
        </w:rPr>
        <w:t>E. 4.3</w:t>
      </w:r>
    </w:p>
    <w:p>
      <w:r>
        <w:t>Il s’ensuit que la condition de la double incrimination est remplie en l’espèce et que le contenu de la demande suédoise satisfait aux exigences de l’art. 14 CEEJ. Le grief est par conséquent infondé. Il n’est au surplus pas nécessaire de vérifier si l’exposé des faits de la demande réalise éga- 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5</w:t>
      </w:r>
    </w:p>
    <w:p>
      <w:r>
        <w:t>Le grief libellé "[a]bsence de lien de connexité suffisant (violation de l'article 63 EIMP" n'a pas de portée propre par rapport à celui intitulé "[v]iolation du principe [de] la proportionnalité (violation des […] articles 63 et 64 EIMP" (act. 1 et 2, p. 7 ss et 12 ss). Dans la mesure où ils reviennent tous deux à invoquer la violation du principe de la proportionnalité, ils se confondent et seront traités sous ce seul angle.</w:t>
      </w:r>
    </w:p>
    <w:p>
      <w:r>
        <w:rPr>
          <w:b/>
        </w:rPr>
        <w:t>E. 5.1.1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w:t>
      </w:r>
    </w:p>
    <w:p>
      <w:r>
        <w:t>- 12 -</w:t>
      </w:r>
    </w:p>
    <w:p>
      <w:r>
        <w:t>tions à l’octroi de l’entraide sont remplies; ce mode de procéder permet d’éviter aussi d’éventuelles demandes complémentaires (arrêt du Tribunal pénal fédéral RR.2008.94 du 13 octobre 2008, consid. 3.1 et la jurispru- dence citée).</w:t>
      </w:r>
    </w:p>
    <w:p>
      <w:r>
        <w:rPr>
          <w:b/>
        </w:rPr>
        <w:t>E. 5.1.2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ayant potentiellement servi à des actes de corrup- tion, il convient d'informer l'Etat requérant de toutes les transactions opé- rées au nom des sociétés et par le biais des comptes impliqués dans l'af- faire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(cf. arrêts du Tribunal pénal fédéral RR.2008.8 du 23 juillet 2008, consid. 3.2; RR.2007.180-181 du 8 mai 2008, consid. 4.3).</w:t>
      </w:r>
    </w:p>
    <w:p>
      <w:r>
        <w:rPr>
          <w:b/>
        </w:rPr>
        <w:t>E. 5.1.3</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(ATF 130 II 14 consid. 4.3; arrêt du Tribunal fédéral 1A.216/2001 du 21 mars 2002, consid. 3.1).</w:t>
      </w:r>
    </w:p>
    <w:p>
      <w:r>
        <w:t>- 13 -</w:t>
      </w:r>
    </w:p>
    <w:p>
      <w:r>
        <w:rPr>
          <w:b/>
        </w:rPr>
        <w:t>E. 5.2.1</w:t>
      </w:r>
    </w:p>
    <w:p>
      <w:r>
        <w:t>L'autorité requérante enquête sur les transactions intervenues entre 2007 et 2010 dans le cadre de l'acquisition d'une licence de téléphonie 3G par l'opérateur suédo-finlandais en Ouzbékistan. Il ressort de la demande d'en- traide suédoise et de ses compléments que l'autorité pénale a des raisons de soupçonner une, voire plusieurs personnes engagées dans cette opéra- tion d'avoir versé, respectivement perçu des pots-de-vin dans ce cadre. C'est ainsi sur de possibles actes de corruption que porte l'enquête en cours dans l'Etat requérant. Les éléments fournis à l'appui de la demande d'entraide et ses compléments permettent de comprendre que les pots-de- vin en question, versés par des représentants de l'opérateur téléphonique TeliaSonera, auraient pu transiter par un ou plusieurs comptes dont la re- courante est titulaire en Suisse auprès d'établissements de la place gene- voise. Ainsi, et en d'autres termes, le ou les comptes en question auraient pu servir à réceptionner, respectivement faire transiter des montants desti- nés à corrompre l'une ou l'autre personne proche du pouvoir ouzbek dont il a été vu, en lien avec la question de la double incrimination (v. supra consid. 4.2), qu'elle pourrait être assimilée à un membre d'une autorité. Dans ces conditions, force est de reconnaître qu'il existe un rapport objec- tif, respectivement un "lien de connexité" suffisant entre les informations que l'autorité d'exécution entend transmettre à la Suède et l'enquête qui y est diligentée.</w:t>
      </w:r>
    </w:p>
    <w:p>
      <w:r>
        <w:rPr>
          <w:b/>
        </w:rPr>
        <w:t>E. 5.2.2</w:t>
      </w:r>
    </w:p>
    <w:p>
      <w:r>
        <w:t>Dans le cas d'espèce, en vertu de la jurisprudence mentionnée plus haut (v. supra consid. 5.1.2), s'agissant de comptes susceptibles d’avoir joué un rôle dans le cadre du processus mis en place pour verser des pots-de-vin, l’autorité requérante a intérêt à pouvoir prendre connaissance de la docu- mentation d’ouverture, afin notamment de connaître l’identité de l’ayant droit économique et des signataires autorisés. Elle dispose également d’un intérêt à être informée de toute transaction susceptible de s’inscrire dans le mécanisme mis en place par les prévenus sous enquête dans le pays re- quérant.</w:t>
      </w:r>
    </w:p>
    <w:p>
      <w:r>
        <w:t>Certes, il se peut également que le compte litigieux n'ait pas servi à rece- 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 RR.2007.29 du 30 mai 2007, consid 4.2). Selon la jurisprudence, le princi- pe de l’utilité potentielle joue un rôle crucial dans l’application du principe</w:t>
      </w:r>
    </w:p>
    <w:p>
      <w:r>
        <w:t>- 14 -</w:t>
      </w:r>
    </w:p>
    <w:p>
      <w:r>
        <w:t>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 722, p. 673 s.).</w:t>
      </w:r>
    </w:p>
    <w:p>
      <w:r>
        <w:rPr>
          <w:b/>
        </w:rPr>
        <w:t>E. 5.2.3</w:t>
      </w:r>
    </w:p>
    <w:p>
      <w:r>
        <w:t>En l’espèce, l’autorité d’exécution entend transmettre la documentation d’ouverture du compte no 1 dont la recourante est titulaire auprès de la banque G. à Genève, ainsi que les divers documents contractuels relatifs aux activités de la recourante en lien avec les faits sous enquête dans l'Etat requérant, de même que divers relevés dudit compte, les justificatifs, les correspondances et l'historique client. Il en va de même de la documenta- tion relative au compte no 2 dont la recourante est titulaire auprès de la banque H. S'agissant de la période couverte par la documentation liti- gieuse, la recourante n'allègue pas qu'elle ne respecterait pas la jurispru- dence rappelée plus haut, selon laquelle l'Etat requérant a un intérêt à être informé de toutes les transactions sur une période relativement étendue (v. supra consid. 5.2.2). Quant à la problématique du tri des pièces, la Cour constate que la recourante n'a pas satisfait à son devoir de coopération, omettant d'indiquer avec précision à l’autorité quels documents ne de- vraient pas, selon elle, être transmis et pour quels motifs (v. supra con- sid. 5.1.3).</w:t>
      </w:r>
    </w:p>
    <w:p>
      <w:r>
        <w:rPr>
          <w:b/>
        </w:rPr>
        <w:t>E. 5.3</w:t>
      </w:r>
    </w:p>
    <w:p>
      <w:r>
        <w:t>Vu l’ensemble des éléments qui précèdent, le grief tiré d’une prétendue vio- lation du principe de la proportionnalité se révèle, lui aussi, mal fondé.</w:t>
      </w:r>
    </w:p>
    <w:p>
      <w:r>
        <w:rPr>
          <w:b/>
        </w:rPr>
        <w:t>E. 6</w:t>
      </w:r>
    </w:p>
    <w:p>
      <w:r>
        <w:t>Les considérants qui précèdent conduisent au rejet des recours.</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w:t>
      </w:r>
    </w:p>
    <w:p>
      <w:r>
        <w:t>- 15 -</w:t>
      </w:r>
    </w:p>
    <w:p>
      <w:r>
        <w:t>rie (art. 73 al. 2 LOAP). La recourante supportera ainsi les frais du présent arrêt, réduits du fait de la jonction des causes (v. supra consid. 1), d'une part, et du fait que l’autorité inférieure a violé son droit d’être entendue (v. supra consid. 3.3), d'autre part, frais fixés à CHF 3'000.-- (art. 73 al. 2 LOAP et art. 8 al. 3 du règlement du Tribunal pénal fédéral sur les frais, émoluments, dépens et indemnités de la procédure pénale fédérale [RFPPF; RS 173.713.162] et art. 63 al. 5 PA). La recourante ayant versé CHF 6’000.-- à titre d’avance de frais, l’émolument du présent arrêt est couvert par celle-ci et la caisse du Tribunal pénal fédéral lui restituera le solde par CHF 3’000.--.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