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RR.2013.202 vom 14. November 2013</w:t>
      </w:r>
    </w:p>
    <w:p>
      <w:r>
        <w:t>Bundesstrafgericht, 2013-11-14, IT</w:t>
      </w:r>
    </w:p>
    <w:p>
      <w:r>
        <w:rPr>
          <w:b/>
        </w:rPr>
        <w:t xml:space="preserve">Quelle: </w:t>
      </w:r>
      <w:r>
        <w:t>https://mcp.opencaselaw.ch/entscheid/bstger_RR.2013.202</w:t>
      </w:r>
    </w:p>
    <w:p>
      <w:r>
        <w:t>FR: TPF RR.2013.202 du 14 novembre 2013</w:t>
      </w:r>
    </w:p>
    <w:p>
      <w:r>
        <w:t>IT: TPF RR.2013.202 del 14 novembre 2013</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e 19 cpv. 1 del regolamento del 31 agosto 2010 sull'organizzazione del Tribunale penale federale (ROTPF; RS 173.713.161),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w:t>
      </w:r>
    </w:p>
    <w:p>
      <w:r>
        <w:t>della Convenzione di applicazione dell'Accordo di Schengen del 14 giugno 1985 (CAS). Di rilievo nella fattispecie è anche la Convenzione sul riciclag- 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137 IV 33 consid. 2.2.2; 136 IV 82 consid.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w:t>
      </w:r>
    </w:p>
    <w:p>
      <w:r>
        <w:rPr>
          <w:b/>
        </w:rPr>
        <w:t>E. 1.4</w:t>
      </w:r>
    </w:p>
    <w:p>
      <w:r>
        <w:t>La ricevibilità del gravame presuppone tuttavia anche la legittimazione a ricorrere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assistenza giudiziaria internazionale, il ricorrente deve avere un legame sufficientemente stretto con la decisione litigiosa (DTF 123 II 161 consid. 1 d/aa). Più concretamente, nel caso di una richiesta d’informazioni su un conto bancario è considerato personalmente e direttamente toccato il titolare del conto (v. art. 9a lett. a OAIMP; DTF 137 IV 134 consid. 5 e 118 Ib 547 consid. 1d), così come nelle perquisizioni domiciliari questa qualità spetta al proprietario o al locatario (v. art. 9a lett. b OAIMP). In via giurisprudenziale è stato altresì precisato che la legittimazione a ricorrere compete alla persona direttamente sottoposta a una misura coercitiva (perquisizione, sequestro o interrogatorio; DTF 130 II 162 consid. 1.1; 128 II 211 consid. 2.3; 127 II 198 consid. 2d; 126 II 258 consid. 2d; 124 II 180 consid. 1b; TPF 2007 79 consid. 1.6 pag. 82), mentre gli interessati toccati solo in maniera indiretta,</w:t>
      </w:r>
    </w:p>
    <w:p>
      <w:r>
        <w:t>come ad esempio il mero avente diritto economico di un conto bancario, non possono impugnare tali provvedimenti (DTF 137 IV 134 consid. 5.2.1 e 122 II 130 consid. 2b e rinvii). Per lo stesso motivo, nel caso di documenti in possesso di terzi, soltanto questi ultimi in quanto loro possessori possono contestare il sequestro degli stessi, anche se i documenti in questione concernono un’altra persona contro la quale è pendente un procedimento penale estero (DTF 123 II 161 consid. 1d; 116 Ib 106 consid. 2a; TPF 2007 79 consid. 1.6). Secondo la giurisprudenza, questo vale parimenti nel caso di documentazione bancaria detenuta da un avvocato o da una fiduciaria in ragione di un mandato (sentenza del Tribunale federale 1A.293/2004 del 18 marzo 2005, consid. 2.3; sentenza del Tribunale penale federale RR.2007.101 del 12 luglio 2007, consid. 2.1). La persona perseguita all'estero non può invece ricorrere contro misure che toccano terzi (DTF 116 Ib 106 consid. 2a/aa; 110 Ib 387 consid. 3b). Questo diritto è infatti riconosciuto all’indagato all’estero solo quando egli è toccato in maniera diretta dalla misura d’assistenza, per esempio laddove viene direttamente sottoposto ad un interrogatorio o ad una perquisizione in ambito rogatoriale.</w:t>
      </w:r>
    </w:p>
    <w:p>
      <w:r>
        <w:t>Discende da tali principi che la società B. LLC, nella sua qualità di titolare del conto oggetto della misura di assistenza, è unica beneficiaria della legittimazione ricorsuale. Alla luce degli scritti presentati a questa Corte, segnatamente della confusione e delle contraddizioni presenti nell'enunciato degli stessi, non risulta tuttavia chiara l'identità del ricorrente. Come segnalato supra, il frontespizio del memoriale di ricorso indica che lo stesso è interposto da A. "quale legale rappresentante della B. LLC" (act. 1, p. 1). La dicitura presente sullo scritto di replica precisa invece che la medesima è presentata da A. (act. 10, p. 1). Inoltre, nella motivazione del ricorso così come in quella di replica, viene sistematicamente e unicamente fatto riferimento a "il ricorrente". Queste constatazioni porterebbero a ritenere che l'impugnativa sia stata inoltrata da A. stesso, in nome proprio. Ad ogni buon conto, dato il potere di rappresentanza di cui quest'ultimo gode in favore della suddetta persona giuridica (act. 4.1), va ritenuto che il ricorso è ricevibile unicamente nella misura in cui egli ricorre in nome della società titolare del conto.</w:t>
      </w:r>
    </w:p>
    <w:p>
      <w:r>
        <w:rPr>
          <w:b/>
        </w:rPr>
        <w:t>E. 2</w:t>
      </w:r>
    </w:p>
    <w:p>
      <w:r>
        <w:t>Malgrado la ricorrente non lo formuli esplicitamente, si evince dalla sua argomentazione che la stessa lamenta una violazione del principio della proporzionalità. Essa fa in effetti valere che unicamente una parte della documentazione oggetto della decisione di chiusura sarebbe utile ai fini del procedimento estero.</w:t>
      </w:r>
    </w:p>
    <w:p>
      <w:r>
        <w:rPr>
          <w:b/>
        </w:rPr>
        <w:t>E. 2.1</w:t>
      </w:r>
    </w:p>
    <w:p>
      <w:r>
        <w:t>La questione di sapere se le informazioni richieste nell'ambito di una domanda di assistenza siano necessarie o utili per il procedimento estero</w:t>
      </w:r>
    </w:p>
    <w:p>
      <w:r>
        <w:t>deve essere lasciata, di massima, all'apprezzamento delle autorità richiedenti.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e RR.2007.18 del 21 maggio 2007, consid.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per reati patrimoniali di tipo distrattivo, esse necessitano di regola di tutti 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122 II 367 consid. 2c; 121 II 241 consid. 3a e b).</w:t>
      </w:r>
    </w:p>
    <w:p>
      <w:r>
        <w:rPr>
          <w:b/>
        </w:rPr>
        <w:t>E. 2.2</w:t>
      </w:r>
    </w:p>
    <w:p>
      <w:r>
        <w:t>Come indicato in precedenza, le autorità inquirenti italiane avrebbero individuato l'esistenza di un'articolata frode fiscale a carattere transnazionale ai danni dello Stato italiano dalla quale avrebbero tratto profitto le società appartenenti al gruppo D. D¹, D² e D³ (di seguito: i fratelli D.), nella loro qualità di amministratori di società appartenenti al gruppo precitato, avrebbero falsamente intestato a società fittizie, formalmente non legate al gruppo ma a loro riconducibili, la proprietà di ingenti quantitativi di</w:t>
      </w:r>
    </w:p>
    <w:p>
      <w:r>
        <w:t>banda stagnata (latta bianca). Mediante le società E. Limited (Regno unito), F. SARL (Tunisia) e G. ARL (Bulgaria), formalmente terze ma in realtà gestite dai fratelli D., i prodotti venivano successivamente importati in Italia da paesi extra-comunitari in sospensione d'IVA, per poi essere rivenduti su territorio italiano, tramite la H. Ltd (Regno unito) e la I. Srl (Romania), società riconducibili al gruppo D. Tali operazioni avvenivano mediante fatture imponibili IVA senza tuttavia che venisse proceduto al versamento dell'imposta dovuta. In questo contesto, la merce ritornava a J. Srl e K. Spa, società appartenenti al gruppo D., in vista della successiva distribuzione sul mercato italiano. Come si è visto, nell'ambito del procedimento penale condotto dall'autorità rogante, quest'ultima ha richiesto la trasmissione della documentazione bancaria del conto intestato alla B. LLC. In effetti, alla luce di quanto emerso dall'esame delle movimentazioni bancarie, la documentazione relativa alla suddetta relazione risulta, a mente dell'anzidetta autorità, necessaria per completare il tracciamento delle risorse finanziarie provenienti direttamente dall'ingente frode investigata. Tale approfondimento investigativo si renderebbe necessario al fine di completare l'identificazione di tutti i soggetti responsabili delle attività di reimpiego illecito di somme provento dei reati prospettati e l'individuazione della destinazione finale delle medesime somme, attraverso la complessa rete transazionale investigata.</w:t>
      </w:r>
    </w:p>
    <w:p>
      <w:r>
        <w:t>Orbene, nel proprio ricorso, la ricorrente stessa conferma che, come postulato dalle autorità italiane, alcune transazioni intervenute sul conto incriminato sono in relazione con l'inchiesta italiana (act. 1, § 3 segg.). Alla luce della consolidata giurisprudenza menzionata in precedenza (consid. 2.1), tutta la documentazione relativa al conto oggetto della richiesta è potenzialmente utile per le indagini, in quanto essa è destinata a permettere la ricostruzione complessiva delle presunte distrazioni a danno dello Stato italiano. A tale proposito, occorre ricordare che il principio dell'utilità potenziale assume un ruolo cruciale nell'applicazione del principio della proporzionalità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perseguiti nello Stato rogante (sentenze del Tribunale penale federale RR.2010.173 del 13 ottobre 2010, consid. 4.2.4/a e RR.2009.320 del 2 febbraio 2010, consid. 4.1; ROBERT ZIMMERMANN, La coopération judiciaire internationale en matière pénale, 3a ediz., Berna 2009, n. 722, p. 673 e seg.).</w:t>
      </w:r>
    </w:p>
    <w:p>
      <w:r>
        <w:t>Quanto precede permette di confermare la sufficiente relazione tra le misure d'assistenza richieste e l'oggetto del procedimento penale estero, spettando comunque al giudice del merito valutare se dalla documentazione sequestrata emerge in concreto una connessione penalmente rilevante fra i fatti perseguiti all'estero e la relazione bancaria litigiosa. Vi è quindi da concludere che la domanda di assistenza estera non viola il principio della proporzionalità e che non vi è ragione per circoscrivere la stessa ai soli documenti identificati dalla ricorrente. La censura va pertanto respinta.</w:t>
      </w:r>
    </w:p>
    <w:p>
      <w:r>
        <w:rPr>
          <w:b/>
        </w:rPr>
        <w:t>E. 3</w:t>
      </w:r>
    </w:p>
    <w:p>
      <w:r>
        <w:t>Visto quanto precede e non avvedendosi altri motivi suscettibili di condurre al rifiuto dell'assistenza, la decisione impugnata va integralmente confermata ed il gravame respinto.</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CHF 5'000.--; essa è coperta dall’anticipo delle spese già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