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RR.2013.20 vom 12. März 2013</w:t>
      </w:r>
    </w:p>
    <w:p>
      <w:r>
        <w:t>Bundesstrafgericht, 2013-03-12, FR</w:t>
      </w:r>
    </w:p>
    <w:p>
      <w:r>
        <w:rPr>
          <w:b/>
        </w:rPr>
        <w:t xml:space="preserve">Quelle: </w:t>
      </w:r>
      <w:r>
        <w:t>https://mcp.opencaselaw.ch/entscheid/bstger_RR.2013.20</w:t>
      </w:r>
    </w:p>
    <w:p>
      <w:r>
        <w:t>FR: TPF RR.2013.20 du 12 mars 2013</w:t>
      </w:r>
    </w:p>
    <w:p>
      <w:r>
        <w:t>IT: TPF RR.2013.20 del 12 marzo 2013</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(RS 0.351.934.92), conclu le 28 octobre 1996 et entré en vigueur le 1er mai 2000. Les art. 48 ss de la Convention d’application de l’Accord de Schengen du 14 juin 1985 (CAAS; n° CELEX 42000A0922(02); Journal officiel de l’Union européenne L 239 du 22 septembre 2000, p. 19-62) s’appliquent également à l’entraide pénale entre la Suisse et la France (v. arrêt du Tribunal pénal fédéral RR.2008.98 du 18 décembre 2008, consid. 1.3). S’agissant d’une demande d’entraide présentée notamment pour la répression du blanchiment d’argent, entre également en considération la Convention relative au blanchiment, au dépistage, à la saisie et à la confiscation des produits du</w:t>
      </w:r>
    </w:p>
    <w:p>
      <w:r>
        <w:t>- 4 -</w:t>
      </w:r>
    </w:p>
    <w:p>
      <w:r>
        <w:t>crime (CBI; RS 0.311.53), entrée en vigueur le 11 septembre 1993 pour la Suisse et le 1er février 1997 pour la France.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137 IV 33 consid. 2.2.2; 129 II 462 consid. 1.1; 124 II 180 consid. 1.3;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fédérales d’exécution et, conjointement, contre les décisions incidentes (art. 25 al. 1 et 80e al. 1 EIMP, mis en relation avec l'art. 37 al. 2 let. a ch. 1 de la loi fédérale sur l'organisation des autorités pénales de la Confédération [LOAP; RS 173.71] et l'art. 19 du règlement sur l'organisation du Tribunal pénal fédéral [ROTPF; RS 173.713.161]).</w:t>
      </w:r>
    </w:p>
    <w:p>
      <w:r>
        <w:rPr>
          <w:b/>
        </w:rPr>
        <w:t>E. 1.3</w:t>
      </w:r>
    </w:p>
    <w:p>
      <w:r>
        <w:t>Le délai de recours contre la décision de clôture est de 30 jours dès la communication écrite de celle-ci (art. 80k EIMP; ATF 136 IV 16 consid. 2.3; arrêt du Tribunal pénal fédéral RR.2011.216-224 du 1er février 2012, consid. 1.3.2). Déposé à un bureau de poste suisse le 22 janvier 2013, le recours contre la décision de clôture notifiée le 8 janvier 2013 est intervenu en temps utile.</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et 118 Ib 547 consid. 1d). En l'espèce, le titulaire du compte n° 1 ouvert auprès de la banque K. concerné par la décision de clôture est A., qui dispose ainsi de la qualité pour recourir contre dite décision.</w:t>
      </w:r>
    </w:p>
    <w:p>
      <w:r>
        <w:rPr>
          <w:b/>
        </w:rPr>
        <w:t>E. 1.5</w:t>
      </w:r>
    </w:p>
    <w:p>
      <w:r>
        <w:t>Le recours est recevable, il y a lieu d’entrer en matière.</w:t>
      </w:r>
    </w:p>
    <w:p>
      <w:r>
        <w:t>- 5 -</w:t>
      </w:r>
    </w:p>
    <w:p>
      <w:r>
        <w:rPr>
          <w:b/>
        </w:rPr>
        <w:t>E. 2</w:t>
      </w:r>
    </w:p>
    <w:p>
      <w:r>
        <w:t>A l’appui de son recours, A. se prévaut d’une violation du principe de la double incrimination, de l’interdiction de l’entraide en matière fiscale et du principe ne bis in idem. Il estime en substance que les faits allégués dans la demande d’entraide ne pourraient être constitutifs, en droit suisse, que d’infractions fiscales pour lesquelles l’entraide ne peut être accordée. De plus, dans la mesure où G. a fait l’objet d’une décision de contrainte de l’administration fiscale française, le principe ne bis in idem trouverait application et empêcherait l’octroi de l’entraide.</w:t>
      </w:r>
    </w:p>
    <w:p>
      <w:r>
        <w:rPr>
          <w:b/>
        </w:rPr>
        <w:t>E. 2.1</w:t>
      </w:r>
    </w:p>
    <w:p>
      <w:r>
        <w:t>Aux termes de l’art. 14 CEEJ, la demande d'entraide doit notamment indiquer l’autorité dont elle émane (ch. 1 let. a), son objet et son but (ch. 1 let. b),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al. 1 let. a CEEJ), et que le principe de la proportionnalité est respecté (ATF 118 Ib 111 consid. 4b et les arrêts cités).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88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 consid. 5e.aa; 118 Ib 111 consid. 5b).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 La remise de documents bancaires est une mesure de contrainte au sens de l’art. 63 al. 2 let. c EIMP, qui ne peut être ordonnée, selon l’art. 64 al. 1 EIMP mis en relation avec la réserve faite par la Suisse à l’art. 5 ch. 1 let. a CEEJ, que si l’état de fait exposé dans la demande correspond, prima facie, aux éléments objectifs d’une infraction réprimée par le droit suisse.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w:t>
      </w:r>
    </w:p>
    <w:p>
      <w:r>
        <w:t>- 6 -</w:t>
      </w:r>
    </w:p>
    <w:p>
      <w:r>
        <w:t>consid. 4b; 122 II 422 consid. 2a; 118 Ib 448 consid. 3a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w:t>
      </w:r>
    </w:p>
    <w:p>
      <w:r>
        <w:rPr>
          <w:b/>
        </w:rPr>
        <w:t>E. 2.2</w:t>
      </w:r>
    </w:p>
    <w:p>
      <w:r>
        <w:t>D’une part, force est de constater que G. a été mis en examen en France notamment pour faux, usage de faux, corruption active et blanchiment d’argent (act. 1.14). D’autre part, l’enquête française à laquelle se réfère la commission rogatoire ne concerne pas seulement les agissements de G., mais également d’autres personnes, ce que le recourant semble occulter. L’état de fait décrit dans la commission rogatoire correspond de prime abord aux éléments constitutifs du recel (art. 160 CP), de l’organisation criminelle (art. 260ter CP), du blanchiment d’argent (art. 305bis CP), de la corruption active (art. 322ter CP) et passive (art. 322quinquies CP). S’agissant clairement d’infractions de droit pénal commun, le recourant erre lorsqu’il conclut que seule une infraction fiscale peut être retenue en relation avec les faits sous enquête française. Il s’ensuit que le principe ne bis idem ne trouve pas application et ne saurait en l’espèce empêcher l’octroi de l’entraide.</w:t>
      </w:r>
    </w:p>
    <w:p>
      <w:r>
        <w:rPr>
          <w:b/>
        </w:rPr>
        <w:t>E. 2.3</w:t>
      </w:r>
    </w:p>
    <w:p>
      <w:r>
        <w:t>Le grief invoqué doit partant être rejeté.</w:t>
      </w:r>
    </w:p>
    <w:p>
      <w:r>
        <w:rPr>
          <w:b/>
        </w:rPr>
        <w:t>E. 3</w:t>
      </w:r>
    </w:p>
    <w:p>
      <w:r>
        <w:t>Le recourant invoque également une violation du principe de la proportionnalité et de l’interdiction des fishing expeditions. Il prétend que ni lui-même, ni le transfert qui a suscité l’intérêt du MPC ne sont mentionnés dans la commission rogatoire française ou liés aux faits y énoncés, ce qui justifierait, d’après lui, le refus de l’entraide. De plus, il soutient que l’origine des fonds présents sur son compte n’est pas illicite, dans la mesure où le transfert intervenu depuis le compte de G. a eu lieu avant l’opération suspectée par les autorités françaises et, en tout état de cause, les fonds provenant de cette opération ont été utilisés à d’autres fins.</w:t>
      </w:r>
    </w:p>
    <w:p>
      <w:r>
        <w:rPr>
          <w:b/>
        </w:rPr>
        <w:t>E. 3.1</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w:t>
      </w:r>
    </w:p>
    <w:p>
      <w:r>
        <w:t>- 7 -</w:t>
      </w:r>
    </w:p>
    <w:p>
      <w:r>
        <w:t>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Enfin, l’entraide vise non seulement à recueillir des preuves à charge, mais également à décharge (arrêt du Tribunal pénal fédéral RR.2008.287 du 9 avril 2009, consid. 2.2.4 et la jurisprudence citée). 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exécutant toute mesure présentant un rapport suffisant avec l’enquête pénale à l’étranger. Lorsque la demande vise, comme en l’espèce, à éclaircir le cheminement de fonds d’origine délictueuse, il convient d’informer l’Etat requérant de toutes les transactions opérées au nom des entités (personnes physiques ou morales) et par le biais des comptes impliqués dans l’affaire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6.2).</w:t>
      </w:r>
    </w:p>
    <w:p>
      <w:r>
        <w:t>- 8 -</w:t>
      </w:r>
    </w:p>
    <w:p>
      <w:r>
        <w:t>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S’agissant de comptes susceptibles, comme en l’espèce, d’avoir reçu le produit d’infractions pénales, l’autorité requérante a intérêt à pouvoir prendre connaissance de la documentation d’ouverture, afin notamment de connaître l’identité de l’ayant droit économique et des signataires autorisés. Elle dispose également d’un intérêt à être informée de toute transaction susceptible de s’inscrire dans le mécanisme mis en place par les personnes sous enquête en France.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La coopération judiciaire internationale en matière pénale, 3ème éd., Berne 2009, n° 722).</w:t>
      </w:r>
    </w:p>
    <w:p>
      <w:r>
        <w:rPr>
          <w:b/>
        </w:rPr>
        <w:t>E. 3.2</w:t>
      </w:r>
    </w:p>
    <w:p>
      <w:r>
        <w:t>En l’espèce, la commission rogatoire a pour but explicite de permettre à l’autorité requérante "d’identifier le bénéficiaire final" d’une somme d’argent versée par la société H. dans le cadre du contexte de faits sous enquête en France et qui a été d’abord virée sur le compte de J. Ltd, société dont G. est le bénéficiaire économique, puis transférée sur le compte d’une autre société dont G. est également le bénéficiaire économique (commission rogatoire, act. 1.7 p. 4-5). Le MPC a analysé la documentation bancaire relative aux comptes dont G. est le titulaire ou l’ayant droit économique, et en particulier celle relative au compte ouvert auprès de la banque K. au</w:t>
      </w:r>
    </w:p>
    <w:p>
      <w:r>
        <w:t>- 9 -</w:t>
      </w:r>
    </w:p>
    <w:p>
      <w:r>
        <w:t>nom de L. Ltd et dont G. est l’ayant droit économique. Le MPC a ainsi constaté que le compte n° 1 dont A. est titulaire et ayant droit économique a été crédité, en date du 25 août 2006, d’un montant de EUR 900'000.-- par la société L. Ltd (dossier MPC-00471 et 00474). A noter également qu’il ressort de la documentation bancaire que A. est domicilié à Z. et exerce la profession de notaire à Nice. Il est certes vrai, ainsi que le relève le recourant, que la commission rogatoire ne mentionne pas expressément ledit virement. Néanmoins, l’hypothèse du recourant selon laquelle il semble "impossible qu’un lien de connexité quelconque puisse exister entre le virement de 900'000.-- euros d’août 2006 et l’enquête française qui fait l’objet de la commission rogatoire" (mémoire de recours, act. 1 p. 4) ne peut être suivie. En effet, la transmission des informations bancaires concernant le compte n° 1 désignées dans la décision de clôture, soit les documents d’ouverture et de clôture ainsi que le justificatif du virement opéré depuis le compte de L. Ltd, est à la fois conforme à la jurisprudence (supra consid. 3.1) et s’inscrit dans le cadre de la commission rogatoire en tant qu’il existe un lien objectif entre ledit compte et les faits sur lesquels enquêtent les autorités françaises. La transmission permet ainsi d’éviter une nouvelle demande d’entraide qui serait sans doute formulée par les autorités françaises dès la réception des informations bancaires concernant les comptes de G. Finalement, la question de l’origine, licite ou non, du montant versé à A. relève de la procédure au fond et n’a pas à être analysée dans le cadre de la procédure d’entraide.</w:t>
      </w:r>
    </w:p>
    <w:p>
      <w:r>
        <w:rPr>
          <w:b/>
        </w:rPr>
        <w:t>E. 3.3</w:t>
      </w:r>
    </w:p>
    <w:p>
      <w:r>
        <w:t>Le grief tiré de la violation du principe de la proportionnalité et de l’interdiction des fishing expeditions doit être rejeté.</w:t>
      </w:r>
    </w:p>
    <w:p>
      <w:r>
        <w:rPr>
          <w:b/>
        </w:rPr>
        <w:t>E. 4</w:t>
      </w:r>
    </w:p>
    <w:p>
      <w:r>
        <w:t>Les considérants qui précèdent conduisent au rejet du recours.</w:t>
      </w:r>
    </w:p>
    <w:p>
      <w:r>
        <w:rPr>
          <w:b/>
        </w:rPr>
        <w:t>E. 5</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Le recourant supportera ainsi les frais du présent arrêt, lesquels se limitent à un émolument fixé à CHF 4'000.-- (art. 73 al. 2 LOAP et art. 8 al. 3 du règlement du Tribunal pénal fédéral sur les frais, émoluments, dépens et indemnités de la procédure pénale fédérale du 31 août 2010 [RFPPF;</w:t>
      </w:r>
    </w:p>
    <w:p>
      <w:r>
        <w:t>- 10 -</w:t>
      </w:r>
    </w:p>
    <w:p>
      <w:r>
        <w:t>RS 173.713.162] et art. 63 al. 5 PA), couvert par l'avance de frais déjà versée.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