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RR.2013.198 vom 28. August 2013</w:t>
      </w:r>
    </w:p>
    <w:p>
      <w:r>
        <w:t>Bundesstrafgericht, 2013-08-28, DE</w:t>
      </w:r>
    </w:p>
    <w:p>
      <w:r>
        <w:rPr>
          <w:b/>
        </w:rPr>
        <w:t xml:space="preserve">Quelle: </w:t>
      </w:r>
      <w:r>
        <w:t>https://mcp.opencaselaw.ch/entscheid/bstger_RR.2013.198</w:t>
      </w:r>
    </w:p>
    <w:p>
      <w:r>
        <w:t>FR: TPF RR.2013.198 du 28 août 2013</w:t>
      </w:r>
    </w:p>
    <w:p>
      <w:r>
        <w:t>IT: TPF RR.2013.198 del 28 agosto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w:t>
      </w:r>
    </w:p>
    <w:p>
      <w:r>
        <w:t>- 5 -</w:t>
      </w:r>
    </w:p>
    <w:p>
      <w:r>
        <w:t>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BGE 136 IV 82 E. 3.1; 129 II 462 E. 1.1 S. 464, m.w.H.). Vorbehalten bleibt die Wah- rung der Menschenrechte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von Hausdurchsuchungen der Eigentümer oder der Mieter angesehen (Art. 9a lit. b IRSV; BGE 122 II 130 E. 2b). Das Gleiche gilt nach der Recht- sprechung für Personen, gegen die unmittelbar Zwangsmassnahmen an- geordnet wurden (BGE 128 II 211 E. 2.3-2.5 S. 217 ff.; 123 II 153 E. 2b S. 157, je mit Hinweisen).</w:t>
      </w:r>
    </w:p>
    <w:p>
      <w:r>
        <w:rPr>
          <w:b/>
        </w:rPr>
        <w:t>E. 2.2</w:t>
      </w:r>
    </w:p>
    <w:p>
      <w:r>
        <w:t>Mit Schlussverfügung vom 5. Dezember 2012 wird die Herausgabe von Beweismitteln, die anlässlich der Durchsuchung der Räumlichkeiten der Beschwerdeführerin und C. in Z. und Räumlichkeiten der Beschwerdefüh- rerin in Y. beschlagnahmt worden sind, verfügt. Es ist unbestritten, dass es sich bei den Räumlichkeiten in Y. und einen Teil der Räumlichkeiten in Z. um Räumlichkeiten der Beschwerdeführerin handelt.</w:t>
      </w:r>
    </w:p>
    <w:p>
      <w:r>
        <w:rPr>
          <w:b/>
        </w:rPr>
        <w:t>E. 2.3</w:t>
      </w:r>
    </w:p>
    <w:p>
      <w:r>
        <w:t>Die Beschwerdeführerin beantragt die Aufhebung des Durchsuchungsbe- fehls, des Beschlagnahmebefehls und der Schlussverfügung betreffend die im Rahmen der Durchsuchung ihrer eigenen Räumlichkeiten beschlag- nahmten und zur Herausgabe vorgesehenen Gegenstände. Sie ist diesbe- züglich beschwerdelegitimiert.</w:t>
      </w:r>
    </w:p>
    <w:p>
      <w:r>
        <w:t>- 6 -</w:t>
      </w:r>
    </w:p>
    <w:p>
      <w:r>
        <w:rPr>
          <w:b/>
        </w:rPr>
        <w:t>E. 2.4</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 strafgericht vom 31. August 2010, SR 173.713.161). Die ausführende Be- hörde und die Rechtsmittelinstanz stellen ihre Verfügungen dem in der Schweiz wohnhaften Berechtigten sowie dem im Ausland ansässigen Be- rechtigten mit Zustellungsdomizil in der Schweiz zu (Art. 80m Abs. 1 IRSG). Die Beschwerdefrist gemäss Art. 80k IRSG beginnt zu laufen, sobald der Betroffene von einer auf ihn bezugnehmenden Verfügung tatsächlich Kenntnis erhält, selbst wenn ihm gegenüber eine formelle Eröffnung nicht erfolgt ist. (BGE 124 II 124 E. 2d/aa.; ROBERT ZIMMERMANN, La coopération judiciaire internationale en matière pénale, 3. Aufl., Bern 2009, S. 492 N 537).</w:t>
      </w:r>
    </w:p>
    <w:p>
      <w:r>
        <w:rPr>
          <w:b/>
        </w:rPr>
        <w:t>E. 2.5</w:t>
      </w:r>
    </w:p>
    <w:p>
      <w:r>
        <w:t>Nachfolgend gilt es zu prüfen, ob die obgenannte Beschwerdefrist durch die Beschwerdeführerin eingehalten wurde. Diesbezüglich macht die Be- schwerdeführerin geltend, C. habe sie - nach Erhalt des Entscheides RR.2013.11 vom 13. Juni 2013 - am 14. Juni 2013 über die Schlussverfü- gung informiert. Folglich habe sie erst seit dem 14. Juni 2013 Kenntnis von der Existenz der Schlussverfügung. Nachdem sie Kenntnis von der Schlussverfügung erlangt habe, habe Rechtsanwalt Matthias Raschle die Beschwerdegegnerin um Zustellung der Schlussverfügung ersucht. Mit Schreiben vom 27. Juni 2013 habe die Beschwerdegegnerin ihr diese zu- kommen lassen. Zusammenfassend stellt die Beschwerdeführerin fest, sei ihr frühestens am 14. Juni 2013 möglich gewesen, Beschwerde gegen die Schlussverfügung zu erheben. Die Beschwerdefrist habe entsprechend am 15. Juni 2013 zu laufen begonnen (RR.2013.198, act. 1, Rz. 2).</w:t>
      </w:r>
    </w:p>
    <w:p>
      <w:r>
        <w:rPr>
          <w:b/>
        </w:rPr>
        <w:t>E. 2.6</w:t>
      </w:r>
    </w:p>
    <w:p>
      <w:r>
        <w:t>Gemäss Handelsregisterauszug des Kantons Thurgau ist C. Gesellschafter (er besitzt 95 % der Stammanteile) und alleiniger Geschäftsführer (mit Ein- zelunterschrift) der Beschwerdegegnerin. Er ist folglich Organ der Be- schwerdeführerin und entsprechend vertretungsbefugt.</w:t>
      </w:r>
    </w:p>
    <w:p>
      <w:r>
        <w:rPr>
          <w:b/>
        </w:rPr>
        <w:t>E. 2.7</w:t>
      </w:r>
    </w:p>
    <w:p>
      <w:r>
        <w:t>C. hat mit Eingabe vom 9. Januar 2013 Beschwerde gegen die Schlussver- fügung vom 5. Dezember 2012 erhoben. Folglich hatte er und damit auch die Beschwerdeführerin bereits zu diesem Zeitpunkt tatsächliche Kenntnis von der Schlussverfügung. Da die Beschwerdefrist gemäss Art. 80k IRSG zu laufen beginnt, sobald der Betroffene von einer auf ihn bezugnehmen-</w:t>
      </w:r>
    </w:p>
    <w:p>
      <w:r>
        <w:t>- 7 -</w:t>
      </w:r>
    </w:p>
    <w:p>
      <w:r>
        <w:t>den Verfügung tatsächlich Kenntnis erhält, selbst wenn ihm gegenüber eine formelle Eröffnung nicht erfolgt ist (s. supra 2.4), hat die Beschwerdeführe- rin vorliegend die Beschwerdefrist von Art. 80k IRSG bei weitem nicht ge- wahrt.</w:t>
      </w:r>
    </w:p>
    <w:p>
      <w:r>
        <w:rPr>
          <w:b/>
        </w:rPr>
        <w:t>E. 2.8</w:t>
      </w:r>
    </w:p>
    <w:p>
      <w:r>
        <w:t>Nach dem Gesagten ist auf die Beschwerde – ohne Durchführung eines Schriftenwechsels (Art. 57 Abs. 1 VwVG e contrario) – nicht einzutreten.</w:t>
      </w:r>
    </w:p>
    <w:p>
      <w:r>
        <w:rPr>
          <w:b/>
        </w:rPr>
        <w:t>E. 3</w:t>
      </w:r>
    </w:p>
    <w:p>
      <w:r>
        <w:t>Bei diesem Ausgang des Verfahrens wird die Beschwerdeführerin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3'000.-- festzusetzen, unter Anrechnung des entsprechenden Betrages am Kosten- vorschuss von Fr. 4'000.--. Die Bundesstrafgerichtskasse ist anzuweisen, der Beschwerdeführerin den Restbetrag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