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RR.2013.180 vom 8. August 2013</w:t>
      </w:r>
    </w:p>
    <w:p>
      <w:r>
        <w:t>Bundesstrafgericht, 2013-08-08, DE</w:t>
      </w:r>
    </w:p>
    <w:p>
      <w:r>
        <w:rPr>
          <w:b/>
        </w:rPr>
        <w:t xml:space="preserve">Quelle: </w:t>
      </w:r>
      <w:r>
        <w:t>https://mcp.opencaselaw.ch/entscheid/bstger_RR.2013.180</w:t>
      </w:r>
    </w:p>
    <w:p>
      <w:r>
        <w:t>FR: TPF RR.2013.180 du 8 août 2013</w:t>
      </w:r>
    </w:p>
    <w:p>
      <w:r>
        <w:t>IT: TPF RR.2013.180 del 8 agosto 2013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 Kontosperre (Art. 33a IRSV).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Mai 2013 die Schweiz um Bankenermittlungen sowie Kontosperren bei der Bank C. hinsichtlich der Kontoverbindungen von B. und seiner Tochter A. ersucht (act. 3.1);</w:t>
      </w:r>
    </w:p>
    <w:p>
      <w:r>
        <w:t>- die Staatsanwaltschaft Graubünden (nachfolgend "Staatsanwaltschaft") mit Eintretensverfügung vom 15. Mai 2013 auf das deutsche Rechtshilfeersu- chen eintrat und eine Aktenedition bei der Bank C. anordnete, welche in der Folge mit Schreiben vom 24. Mai 2013 die angeforderten Dokumente übermittelte; die ausführende Behörde mit Verfügung vom 15. Mai 2013 ebenfalls eine Kontosperre hinsichtlich der genannten Konti anordnete;</w:t>
      </w:r>
    </w:p>
    <w:p>
      <w:r>
        <w:t>- die Staatsanwaltschaft mit Schlussverfügung vom 5. Juni 2013 die rechts- hilfeweise Herausgabe der Bankunterlagen betreffend sieben auf B. und vier auf A. lautende Konti bei der Bank C. (Disp. Ziff. 2a und 2b) an die er- suchende Behörde anordnete (act. 3.1);</w:t>
      </w:r>
    </w:p>
    <w:p>
      <w:r>
        <w:t>- die Staatsanwaltschaft in Disp. Ziff. 3 ihrer Schlussverfügung ausserdem entschied, die mit Verfügung vom 15. Mai 2013 angeordnete Kontosperren seien aufrecht zu erhalten, bis die ersuchende Behörde über die sicherge- stellten Vermögenswerte rechtskräftig entschieden habe (act. 3.1);</w:t>
      </w:r>
    </w:p>
    <w:p>
      <w:r>
        <w:t>- Rechtsanwalt Jörg Sklebitz aus München im Namen von A., gesetzlich ver- treten durch deren Mutter, D., mit Eingabe vom 25. Juni 2013, hierorts ein- gegangen am 1. Juli 2013, Beschwerde gegen die Schlussverfügung er- hebt (act. 1); er um Zustellung der Schlussverfügung samt Rechtshilfeersu- chen ersucht, damit er nachfolgend die Beschwerde inhaltlich begründen könne (act. 1);</w:t>
      </w:r>
    </w:p>
    <w:p>
      <w:r>
        <w:t>- die Beschwerde vom 25. Juni 2013 keine Begründung enthielt; mit Schrei- ben vom 2. Juli 2013 Rechtsanwalt Sklebitz in Anwendung von Art. 52 Abs. 2 VwVG eine kurze Nachfrist bis 12. Juli 2013 eingeräumt wurde, um die Begründung der Beschwerde verbessert einzureichen; er darauf hinge- wiesen wurde, dass gestützt auf Art. 52 Abs. 3 VwVG bei Säumnis auf die Beschwerde nicht eingetreten würde;</w:t>
      </w:r>
    </w:p>
    <w:p>
      <w:r>
        <w:t>- mit selbem Schreiben Rechtsanwalt Sklebitz zudem aufgefordert wurde, bis zum gleichen Datum in der Schweiz ein Zustellungsdomizil zu bezeichnen, ansonsten weitere Zustelllungen durch das Bundesstrafgericht grundsätz- lich unterblieben; insbesondere würde bei Fehlen eines schweizerischen Zustelldomizils der Schlussentscheid nicht zugestellt (act. 5); er angesichts des aktuellen Verfahrensstadiums unter Hinweis auf die einschlägigen Normen zum Wohnsitz im Ausland für eine Übersendung der angefochte- nen Rechtshilfeverfügung an die betreffende Bank verwiesen wurde (act. 5);</w:t>
      </w:r>
    </w:p>
    <w:p>
      <w:r>
        <w:t>- Rechtsanwalt Sklebitz auf dessen telefonische Anfrage vom 10. Juli 2013 erklärt wurde, dass Eingaben nicht gültig per Fax vorgenommen werden könnten (act. 6);</w:t>
      </w:r>
    </w:p>
    <w:p>
      <w:r>
        <w:t>- Rechtsanwalt Sklebitz ausdrücklich nur mit Fax-Mitteilung vom 12. Juli 2013 erklärte, er ziehe namens der Beschwerdeführerin die Beschwerde zurück (act. 7);</w:t>
      </w:r>
    </w:p>
    <w:p>
      <w:r>
        <w:t>- Eingaben gemäss Art. 21 Abs. 1 VwVG i.V.m. Art. 39 Abs. 2 lit. b StBOG der Schriftform bedürfen; auf eine Einladung von Rechtsanwalt Sklebitz zur Einreichung des Rückzugs in Schriftform indessen vorliegend verzichtet werden kann;</w:t>
      </w:r>
    </w:p>
    <w:p>
      <w:r>
        <w:t>- die Beschwerdeführerin innert Frist die Begründung der Beschwerde nicht verbessert einreichte; auf ihre Beschwerde demnach androhungsgemäss nicht einzutreten ist;</w:t>
      </w:r>
    </w:p>
    <w:p>
      <w:r>
        <w:t>- die Beschwerdeführerin bei diesem Ausgang des Verfahrens kostenpflich- tig wird (Art. 63 Abs. 1 VwVG i.V.m. Art. 39 Abs. 2 lit. b StBOG);</w:t>
      </w:r>
    </w:p>
    <w:p>
      <w:r>
        <w:t>- für die Berechnung der Gerichtsgebühren das Reglement vom 31. August 2010 des Bundesstrafgerichts über die Kosten, Gebühren und Entschädi- gungen in Bundesstrafverfahren (BStKR; SR 173.713.162) zur Anwendung gelangt (Art. 63 Abs. 5 VwVG i.V.m. Art. 73 StBOG); unter Berücksichti- gung aller Umstände die Gerichtsgebühr vorliegend auf CHF 500.-- anzu- setzen ist (Art. 8 Abs. 3 BStKR);</w:t>
      </w:r>
    </w:p>
    <w:p>
      <w:r>
        <w:t>- eine Partei, die im Ausland wohnt, gemäss Art. 80m Abs. 1 lit. b IRSG i.V.m. Art. 9 IRSV ein Zustelldomizil in der Schweiz bezeichnen muss, an- sonsten die Zustellung unterbleiben kann;</w:t>
      </w:r>
    </w:p>
    <w:p>
      <w:r>
        <w:t>- die Beschwerdeführerin der Aufforderung vom 2. Juli 2013 zur Bezeich- nung eines Zustelldomizils in der Schweiz nicht nachgekommen ist, wes-</w:t>
      </w:r>
    </w:p>
    <w:p>
      <w:r>
        <w:t>halb dieser Entscheid ihr androhungsgemäss nicht formell eröffnet wird und die Zustellung an die Beschwerdeführerin anstelle dessen unter heutigem Datum ad acta erfolgt.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