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RR.2013.178 vom 10. September 2013</w:t>
      </w:r>
    </w:p>
    <w:p>
      <w:r>
        <w:t>Bundesstrafgericht, 2013-09-10, FR</w:t>
      </w:r>
    </w:p>
    <w:p>
      <w:r>
        <w:rPr>
          <w:b/>
        </w:rPr>
        <w:t xml:space="preserve">Quelle: </w:t>
      </w:r>
      <w:r>
        <w:t>https://mcp.opencaselaw.ch/entscheid/bstger_RR.2013.178</w:t>
      </w:r>
    </w:p>
    <w:p>
      <w:r>
        <w:t>FR: TPF RR.2013.178 du 10 septembre 2013</w:t>
      </w:r>
    </w:p>
    <w:p>
      <w:r>
        <w:t>IT: TPF RR.2013.178 del 10 settembre 2013</w:t>
      </w:r>
    </w:p>
    <w:p>
      <w:pPr>
        <w:pStyle w:val="Heading2"/>
      </w:pPr>
      <w:r>
        <w:t>Regeste</w:t>
      </w:r>
    </w:p>
    <w:p>
      <w:r>
        <w:t>Entraide judiciaire internationale en matière pénale aux Pays-Bas. Remise de moyens de preuve (art. 74 EIMP).</w:t>
      </w:r>
    </w:p>
    <w:p>
      <w:pPr>
        <w:pStyle w:val="Heading2"/>
      </w:pPr>
      <w:r>
        <w:t>Erwägungen</w:t>
      </w:r>
    </w:p>
    <w:p>
      <w:r>
        <w:rPr>
          <w:b/>
        </w:rPr>
        <w:t>E. 1.1</w:t>
      </w:r>
    </w:p>
    <w:p>
      <w:r>
        <w:t>L'entraide judiciaire entre les Pays-Bas et la Confédération suisse est prioritairement régie par la Convention européenne d’entraide judiciaire en matière pénale (CEEJ; RS 0.351.1), entrée en vigueur pour la Suisse le 20 mars 1967 et pour les Pays-Bas le 15 mai 1969, ainsi que par le Deuxième Protocole additionnel à la CEEJ du 8 novembre 2001, entré en vigueur pour la Suisse le 1er février 2005 et pour l’Etat requérant le 1er avril 2011. Les art. 48 ss de la Convention d’application de l’Accord de</w:t>
      </w:r>
    </w:p>
    <w:p>
      <w:r>
        <w:t>- 4 -</w:t>
      </w:r>
    </w:p>
    <w:p>
      <w:r>
        <w:t>Schengen du 14 juin 1985 (CAAS; n° CELEX 42000A0922(02); Journal officiel de l’Union européenne L 239 du 22 septembre 2000, p. 19-62; publication de la Chancellerie fédérale, "Entraide et extradition") s’appliquent également à l’entraide pénale entre la Suisse et les Pays-Bas (v. arrêt du Tribunal pénal fédéral RR.2008.98 du 18 décembre 2008, consid. 1.3).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tant pour la Suisse que pour les Pays- Bas.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129 II 462 consid. 1.1; 124 II 180 consid. 1a;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Déposés à un bureau de poste suisse le 27 juin 2013, les recours contre la décision de clôture notifiée le 28 mai 2013 sont intervenus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w:t>
      </w:r>
    </w:p>
    <w:p>
      <w:r>
        <w:t>- 5 -</w:t>
      </w:r>
    </w:p>
    <w:p>
      <w:r>
        <w:t>remise à l’Etat requérant d’informations relatives à ce compte (v. ATF 137 IV 134 consid. 5.2.1 et 118 Ib 547 consid. 1d). En l'espèce, A. Ltd et B. Ltd sont titulaires des comptes n° 1, respectivement n° 2. Partant, elles ont chacune la qualité pour recourir contre la transmission des informations relatives à leur compte.</w:t>
      </w:r>
    </w:p>
    <w:p>
      <w:r>
        <w:rPr>
          <w:b/>
        </w:rPr>
        <w:t>E. 1.5</w:t>
      </w:r>
    </w:p>
    <w:p>
      <w:r>
        <w:t>Les recours sont recevables, il y a lieu d’entrer en matière.</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Berne 2000, p. 173). Bien qu’elle ne soit pas prévue par la loi fédérale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 + RR.2008.225-230 du 20 novembre 2008, consid. 1.2; MOSER/BEUSCH/ KNEUBÜHLER, Prozessieren vor dem Bundesverwaltungsgericht, Bâle 2008, § 3.17, p. 115). En l'espèce, les deux recours sont interjetés à l’encontre d’une même décision de clôture par deux sociétés représentées par la même mandataire. Ils reposent sur le même état de fait et l’argumentation juridique est fondée sur des griefs en tous points identiques. Ainsi, il se justifie de joindre les causes RR.2013.178 et RR.2013.179.</w:t>
      </w:r>
    </w:p>
    <w:p>
      <w:r>
        <w:rPr>
          <w:b/>
        </w:rPr>
        <w:t>E. 3</w:t>
      </w:r>
    </w:p>
    <w:p>
      <w:r>
        <w:t>Les recourantes reprochent à l’autorité d’exécution une violation du principe de la proportionnalité. D’après elles, seule la transmission du nom du titulaire des comptes visés par la commission rogatoire serait nécessaire. En transmettant également les noms des ayants droit économiques ainsi que les numéros de comptes concernés, l’autorité d’exécution aurait outrepassé le champ de la commission rogatoire.</w:t>
      </w:r>
    </w:p>
    <w:p>
      <w:r>
        <w:rPr>
          <w:b/>
        </w:rPr>
        <w:t>E. 3.1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w:t>
      </w:r>
    </w:p>
    <w:p>
      <w:r>
        <w:t>- 6 -</w:t>
      </w:r>
    </w:p>
    <w:p>
      <w:r>
        <w:t>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w:t>
      </w:r>
    </w:p>
    <w:p>
      <w:r>
        <w:t>- 7 -</w:t>
      </w:r>
    </w:p>
    <w:p>
      <w:r>
        <w:t>actes du même genre (cf. arrêts du Tribunal fédéral 1A.259/2006 du 26 janvier 2007, consid. 2.2; 1A.75/2006 du 20 juin 2006, consid. 3.2; 1A.79/2005 du 27 avril 2005, consid. 4.2; 1A.59/2005 du 26 avril 2005, consid. 6.2).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mis en place par les personnes sous enquête aux Pays-Bas.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3e éd., Berne 2009, n° 722).</w:t>
      </w:r>
    </w:p>
    <w:p>
      <w:r>
        <w:rPr>
          <w:b/>
        </w:rPr>
        <w:t>E. 3.2</w:t>
      </w:r>
    </w:p>
    <w:p>
      <w:r>
        <w:t>La transmission du nom tant du titulaire que de l’ayant droit économique ainsi que du numéro de chacun des comptes en question s’inscrit dans le cadre de la commission rogatoire en tant qu’elle permet de fournir à l’autorité requérante les informations à même d’identifier les personnes ayant un droit sur les comptes bancaires impliqués, donc de la renseigner de manière exhaustive sur le cheminement des fonds sur lesquels porte son enquête. La transmission de ces informations permet par ailleurs d’éviter une nouvelle demande d’entraide qui aurait sans doute été formulée dès la réception, par l’autorité requérante, des noms des titulaires desdits comptes, à savoir des sociétés off-shore.</w:t>
      </w:r>
    </w:p>
    <w:p>
      <w:r>
        <w:t>- 8 -</w:t>
      </w:r>
    </w:p>
    <w:p>
      <w:r>
        <w:t>Le fait que l’autorité requérante ne demande pas expressément ces informations dans la commission rogatoire n’est pas pertinent, tout comme le fait que les recourantes ne soient pas, en l’état, directement concernées par l’enquête néerlandaise ou encore que les transactions en question soient ou non licites. Quant à l’analogie que les recourantes semblent faire entre les informations fournies aux points 7, 8, 10, 11 et 12 et celles des points 9 et 13 du courrier de la banque D. du 23 août 2012, l’on voit mal en quoi des transferts faits par erreur, qui, de surcroît, ont été révoqués, seraient comparables à des transferts effectifs, justifiant par là que les informations concernant ces derniers ne soient pas, elles non plus, transmises.</w:t>
      </w:r>
    </w:p>
    <w:p>
      <w:r>
        <w:rPr>
          <w:b/>
        </w:rPr>
        <w:t>E. 3.3</w:t>
      </w:r>
    </w:p>
    <w:p>
      <w:r>
        <w:t>Partant, le grief doit être rejeté.</w:t>
      </w:r>
    </w:p>
    <w:p>
      <w:r>
        <w:rPr>
          <w:b/>
        </w:rPr>
        <w:t>E. 4</w:t>
      </w:r>
    </w:p>
    <w:p>
      <w:r>
        <w:t>Les recourantes se prévalent d’une violation de leur droit d’être entendues dans l’établissement des faits. D’après elles, le MP-GE aurait dû tenir compte de moyens de preuve qu’elles ont fournis, en tant que ceux-ci auraient permis de démontrer l’absence de pertinence, au regard de la commission rogatoire, des opérations bancaires mentionnées aux points 7, 8, 10, 11 et 12 du courrier de la banque D. du 23 août 2012, comme cela a été le cas pour les opérations des points 9 et 13 dudit courrier.</w:t>
      </w:r>
    </w:p>
    <w:p>
      <w:r>
        <w:rPr>
          <w:b/>
        </w:rPr>
        <w:t>E. 4.1</w:t>
      </w:r>
    </w:p>
    <w:p>
      <w:r>
        <w:t>Tel qu'il est garanti par l'art. 29 al. 2 Cst.,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(ATF 136 I 265 consid. 3.2; 135 II 286 consid. 5.1; arrêts du Tribunal fédéral 2C_778/2012 du 19 novembre 2012, consid. 3.1; 6B_323/2012 du 11 octobre 2012, consid. 3.2). Ce droit ne peut précisément être exercé que sur les éléments qui sont déterminants pour décider de l'issue du litige (arrêt du Tribunal fédéral 2A.404/2006 du 9 février 2007, consid. 4.1). Il est ainsi possible de renoncer à l'administration de certaines preuves offertes, notamment lorsque le fait à établir résulte déjà de constatations ressortant du dossier ou lorsqu’il est sans importance pour la solution du cas. Ce refus d'instruire ne viole le droit d'être entendu que si l'appréciation anticipée de la pertinence du moyen de preuve offert, à laquelle le juge a ainsi procédé, est entachée d'arbitraire (ATF 130 II 425 consid. 2.1; 125 I 127 consid. 6c/cc in fine; 124 I 208 consid. 4a et les arrêts cités).</w:t>
      </w:r>
    </w:p>
    <w:p>
      <w:r>
        <w:t>- 9 -</w:t>
      </w:r>
    </w:p>
    <w:p>
      <w:r>
        <w:rPr>
          <w:b/>
        </w:rPr>
        <w:t>E. 4.2</w:t>
      </w:r>
    </w:p>
    <w:p>
      <w:r>
        <w:t>Les recourantes ont demandé à ce que l’autorité d’exécution examine les documents permettant, d’après elles, de démontrer que les transactions mentionnées aux points 7, 8, 10, 11 et 12 de la demande d’entraide n’avaient aucun rapport avec les faits à la base de cette dernière. Comme déjà mentionné, les transactions des points 7, 8, 10, 11 et 12 ne sauraient être assimilées à celles des points 9 et 13 qui ont été faites par erreur (supra consid. 3.2). En tout état de cause, la question de la licéité des transactions sur lesquelles porte la commission rogatoire n’a pas à être analysée dans la présente procédure. Les éléments de preuve offerts par les recourantes n’étant pas pertinents pour décider de la suite à donner à la demande d’entraide, la renonciation à leur administration ne viole pas le droit d’être entendues des recourantes. De plus, rien ne porte à croire que, comme l’affirment les recourantes, le MP-GE "n’a examiné aucune des preuves fournies". En effet, bien qu’il ne discute pas de manière détaillée tous les éléments contenus dans le courrier des recourantes du 25 avril 2013, le MP-GE a exposé de manière suffisante les motifs qui aboutissent à l’octroi de l’entraide.</w:t>
      </w:r>
    </w:p>
    <w:p>
      <w:r>
        <w:rPr>
          <w:b/>
        </w:rPr>
        <w:t>E. 4.3</w:t>
      </w:r>
    </w:p>
    <w:p>
      <w:r>
        <w:t>Le grief lié à la violation du droit d’être entendu ne saurait ainsi être admis.</w:t>
      </w:r>
    </w:p>
    <w:p>
      <w:r>
        <w:rPr>
          <w:b/>
        </w:rPr>
        <w:t>E. 5</w:t>
      </w:r>
    </w:p>
    <w:p>
      <w:r>
        <w:t>Le recours doit être rejeté.</w:t>
      </w:r>
    </w:p>
    <w:p>
      <w:r>
        <w:rPr>
          <w:b/>
        </w:rPr>
        <w:t>E. 6</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En application de ces principes, un émolument fixé à CHF 4'000.-- sera mis à la charge solidaire des recourantes qui succombent. La caisse du Tribunal pénal fédéral restituera au conseil des recourantes le solde par CHF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