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RR.2013.167 vom 6. September 2013</w:t>
      </w:r>
    </w:p>
    <w:p>
      <w:r>
        <w:t>Bundesstrafgericht, 2013-09-06, IT</w:t>
      </w:r>
    </w:p>
    <w:p>
      <w:r>
        <w:rPr>
          <w:b/>
        </w:rPr>
        <w:t xml:space="preserve">Quelle: </w:t>
      </w:r>
      <w:r>
        <w:t>https://mcp.opencaselaw.ch/entscheid/bstger_RR.2013.167</w:t>
      </w:r>
    </w:p>
    <w:p>
      <w:r>
        <w:t>FR: TPF RR.2013.167 du 6 septembre 2013</w:t>
      </w:r>
    </w:p>
    <w:p>
      <w:r>
        <w:t>IT: TPF RR.2013.167 del 6 settembre 2013</w:t>
      </w:r>
    </w:p>
    <w:p>
      <w:pPr>
        <w:pStyle w:val="Heading2"/>
      </w:pPr>
      <w:r>
        <w:t>Regeste</w:t>
      </w:r>
    </w:p>
    <w:p>
      <w:r>
        <w:t>Assistenza giudiziaria internazionale in materia penale all'Italia/Consegna di mezzi di prova (art. 74 AIMP) e sequestro di conti bancari (art. 33a OAIMP): proporzionalità; esposto fattuale e doppia punibilità.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ti- tolare dei conti oggetto delle criticate misure rogatoriali, è pacifica (v. art.</w:t>
      </w:r>
    </w:p>
    <w:p>
      <w:r>
        <w:t>- 5 -</w:t>
      </w:r>
    </w:p>
    <w:p>
      <w:r>
        <w:t>80h lett. b AIMP e art. 9a lett. a OAIMP; DTF 137 IV 134 consid. 5.2.1; 118 Ib 547 consid. 1d; TPF 2007 79 consid. 1.6).</w:t>
      </w:r>
    </w:p>
    <w:p>
      <w:r>
        <w:rPr>
          <w:b/>
        </w:rPr>
        <w:t>E. 2</w:t>
      </w:r>
    </w:p>
    <w:p>
      <w:r>
        <w:t>La ricorrente sostiene che la decisione impugnata violi il principio della pro- porzionalità. Il conto presso la banca D. non avrebbe registrato nessuna movimentazione. Per quanto concerne la banca E., sulla relazione n. 7 sa- rebbero confluiti unicamente fondi necessari alla liberazione del capitale sociale e per il resto non vi sarebbe stata nessuna movimentazione. Sulla relazione n. 8 si conterebbero solo tre operazioni: una legata alla liberazio- ne del capitale sociale, mentre le altre due concernerebbero pagamenti alla fiduciaria che si occupava dell'amministrazione della società. Infine, anche se il conto presso la banca C. è stato toccato da operazioni a contanti, non vi sarebbe prova alcuna su collegamenti tra la relazione in questione e le indagini italiane.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 stere chiedono informazioni su conti bancari nell'ambito di procedimenti per reati patrimoniali di tipo distrattivo, esse necessitano di regola di tutti i do- cumenti,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w:t>
      </w:r>
    </w:p>
    <w:p>
      <w:r>
        <w:t>- 6 -</w:t>
      </w:r>
    </w:p>
    <w:p>
      <w:r>
        <w:t>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 la cosiddetta utilità potenziale, secondo cui la consegna giusta l'art. 74 AIMP è esclusa soltanto per quei mezzi di prova certamente privi di rile- vanza per il procedimento penale all'estero (DTF 126 II 258 consid. 9c; 122 II 367 consid. 2c; 121 II 241 consid. 3a e b).</w:t>
      </w:r>
    </w:p>
    <w:p>
      <w:r>
        <w:rPr>
          <w:b/>
        </w:rPr>
        <w:t>E. 2.2</w:t>
      </w:r>
    </w:p>
    <w:p>
      <w:r>
        <w:t>Nella fattispecie, l'autorità rogante ha individuato una complessa, estesa e organizzata struttura, promossa e costituita da B., comprendente ulteriori cinque persone fisiche, tutte con un ruolo distinto, indispensabile e funzio- nale, che avrebbe direttamente gestito, per il raggiungimento dei propri presunti illeciti scopi, numerose società, delle quali alcune risulterebbero trasferite all'estero. L'associazione per delinquere individuata sarebbe composta dal promotore, B., dai suoi prestanome, ovvero H., I., J., nonché dal direttore amministrativo K., e dall'impiegata L., addetta alla predisposi- zione delle trimestrali IVA. Le indagini avrebbero permesso di dimostrare che le linee d'azione dell'associazione seguirebbero un modello standard, consolidato nel tempo e confortato dai risultati ottenuti in almeno dieci anni di attività. Da una parte, vi sarebbe stata una sistematica indebita compen- sazione di crediti IVA inesistenti creati in capo alle diverse società ricondu- cibili a B.; tale indebita compensazione sarebbe stata perpetrata mediante un articolato sistema di emissione ed utilizzo di fatture per operazioni inesi- stenti. D'altra parte, si sarebbe proceduto ad un sistematico depaupera- mento dell'attivo societario (specie quelle società che avrebbero esposto debiti verso l'erario a seguito di emissione di fatture per operazioni inesi- stenti) con successivo trasferimento della sede all'estero allo scopo di sot- trarsi alle procedure coattive di riscossione. La strategia complessiva delle persone implicate si fonderebbe sul dettato dell'art. 10 della legge fallimen- tare italiana che stabilisce l'impossibilità di chiedere il fallimento delle socie- tà cancellate dal Registro Imprese della Camera di Commercio da più di un anno; cancellazione che potrebbe e verrebbe puntualmente richiesta pro- prio in conseguenza del trasferimento (fittizio nel caso di specie) della so- cietà all'estero. Il trasferimento all'estero delle società indebitate con l'erario costituirebbe l'atto conclusivo della frode, successivo allo svuotamento pa- trimoniale della società indebitata con l'erario, anch'esso, secondo gli inqui- renti italiani, pianificato e realizzato (v. Decreto di sequestro preventivo del 26 settembre 2012 emanato dal Giudice per le indagini preliminari del Tri- bunale della Spezia, pag. 286 e segg.). Da accertamenti espletati dalla Guardia di Finanza, in particolare da conversazioni telefoniche intercettate, è emersa l'esistenza di conti bancari in Svizzera. Orbene, riguardando la documentazione bancaria di cui viene contestata la trasmissione all'estero</w:t>
      </w:r>
    </w:p>
    <w:p>
      <w:r>
        <w:t>- 7 -</w:t>
      </w:r>
    </w:p>
    <w:p>
      <w:r>
        <w:t>una società di cui B. è organo nonché avente diritto economico, essa è in- dubbiamente potenzialmente utile per l'inchiesta italiana. Alla luce della so- praccitata giurisprudenza (v. consid. 2.1), riguardando l'inchiesta italiana anche la bancarotta fraudolenta, tutta la documentazione relativa ai conti della ricorrente è potenzialmente utile per le indagini, in quanto destinata a permettere la ricostruzione complessiva delle presunte distrazioni a danno del patrimonio societario delle persone giuridiche coinvolte. A tal proposito, occorre ricordare che il principio dell'utilità potenziale assume un ruolo cru- ciale nell'applicazione del principio della proporzionalità nell'ambito dell'as- sistenza in materia penale. Lo scopo di tale cooperazione è proprio quello di favorire la scoperta di fatti, informazioni e mezzi di prova, compresi quelli di cui l'autorità estera non sospetta neppure l'esistenza. Non si tratta sol- tanto di aiutare lo Stato richiedente a provare i fatti evidenziati dall'inchie- sta, ma di svelarne altri, se ne esistono. Ne deriva, per l'autorità d'esecu- zione, un dovere di esaustività che giustifica la comunicazione di tutti gli e- lementi da essa raccolti e potenzialmente idonei alle indagini estere, al fine di chiarire in tutti i suoi aspetti i meccanismi delittuosi perseguiti nello Stato rogante (sentenze del Tribunale penale federale RR.2010.173 del 13 otto- bre 2010, consid. 4.2.4/a e RR.2009.320 del 2 febbraio 2010, consid.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le relazioni bancarie della ricorrente. Vi è quindi da concludere che la domanda di assistenza estera non viola il principio della proporzionalità.</w:t>
      </w:r>
    </w:p>
    <w:p>
      <w:r>
        <w:rPr>
          <w:b/>
        </w:rPr>
        <w:t>E. 2.3</w:t>
      </w:r>
    </w:p>
    <w:p>
      <w:r>
        <w:t>e rinvii), il che vale in casu senz'altro alla luce del reato fallimentare ipo- tizzato, equiparabile nel diritto svizzero sia all'amministrazione infedele giu- sta l'art. 158 CP che alla bancarotta fraudolenta giusta l'art. 163 CP unita- mente all'art. 29 CP, oltre che, per talune condotte descritte in rogatoria, al- la falsità in documenti giusta l'art. 251 CP. La censura in questo ambito va pertanto respinta.</w:t>
      </w:r>
    </w:p>
    <w:p>
      <w:r>
        <w:rPr>
          <w:b/>
        </w:rPr>
        <w:t>E. 3</w:t>
      </w:r>
    </w:p>
    <w:p>
      <w:r>
        <w:t>In sede di replica la ricorrente dichiara che, contrariamente a quanto affer- mato dal MPC, la rogatoria estera colliderebbe con le esigenze formali de- gli art. 14 CEAG e 28 AIMP. In particolare, come si evincerebbe da un do- cumento ricevuto dalla stessa autorità rogante, né B., né A. SA, né M. risul- terebbero indagati all'estero per riciclaggio.</w:t>
      </w:r>
    </w:p>
    <w:p>
      <w:r>
        <w:rPr>
          <w:b/>
        </w:rPr>
        <w:t>E. 3.1</w:t>
      </w:r>
    </w:p>
    <w:p>
      <w:r>
        <w:t>Secondo l'art. 52 cpv. 1 PA l'atto di ricorso deve contenere le conclusioni, i motivi, l'indicazione dei mezzi di prova e la firma del ricorrente o del suo rappresentante; devono essere allegati la decisione impugnata e i docu- menti indicati come mezzi di prova, se sono in possesso del ricorrente (cpv. 1). Il Tribunale federale ha già avuto modo di affermare che lo scritto ricor- suale deve contenere la firma in originale dell'insorgente e non una fotoco- pia della stessa (v. DTF 121 II 252 consid. 3; 112 Ia 173). Se il ricorso non</w:t>
      </w:r>
    </w:p>
    <w:p>
      <w:r>
        <w:t>- 8 -</w:t>
      </w:r>
    </w:p>
    <w:p>
      <w:r>
        <w:t>soddisfa i requisiti del cpv. 1 o se le conclusioni o i motivi del ricorrente non sono sufficientemente chiari, e il ricorso non sembra manifestamente i- nammissibile, l'autorità di ricorso assegna al ricorrente un breve termine suppletorio per rimediarvi (art. 52 cpv. 2 PA).</w:t>
      </w:r>
    </w:p>
    <w:p>
      <w:r>
        <w:t>Nella fattispecie, occorre rilevare che la replica consegnata brevi manu il 22 agosto 2013 non contiene la firma in originale della patrocinatrice della ricorrente, per cui essa non soddisfa le esigenze formali dell'art. 52 cpv. 1 PA. Questo è però probabilmente dovuto ad un malinteso sorto nel collo- quio telefonico che ha preceduto la consegna brevi manu dell'allegato. Da- te le particolarità del caso, la presente autorità avrebbe dovuto assegnare alla ricorrente un termine suppletorio per rimediare all'omissione. Sennon- ché, il 26 agosto 2013 questa Corte ha ricevuto epistolarmente la replica della ricorrente nella sua versione originale, ciò che in definitiva ha per- messo di regolarizzare la situazione.</w:t>
      </w:r>
    </w:p>
    <w:p>
      <w:r>
        <w:rPr>
          <w:b/>
        </w:rPr>
        <w:t>E. 3.2</w:t>
      </w:r>
    </w:p>
    <w:p>
      <w:r>
        <w:t>Per quanto riguarda la censura sollevata, si evidenzia che i reati per i quali B. ed altri risultano indagati in Italia sono stati precedentemente elencati (v. lett. A) e, come si evince dall'esame della fattispecie che questo Tribunale ha potuto effettuare al consid. 2.2, essi sono stati dettagliatamente descritti dall'autorità rogata in conformità a quanto prescritto agli art. 14 CEAG e 28 AIMP. In realtà, l'ipotesi di riciclaggio di denaro, che non figura nella rogato- ria, è stata effettuata dal MPC nell'ambito della sua analisi relativa all'a- dempimento o meno della condizione della doppia punibilità, ma non vinco- la la presente autorità, la quale può considerare adempiuto il requisito an- che alla luce di altre fattispecie ipotizzabili sulla base dei documenti agli at- ti. A tal proposito, occorre ricordare che esaminando il requisito della dop- 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118 Ib 543 consid. 3b/aa; 116 Ib 89 consid. 3b/bb; 112 Ib 576 consid. 11b/bb). I fatti incriminati non devono forzatamente essere caratterizzati, nelle due legislazioni tocca- te, dalla medesima qualificazione giuridica (DTF 124 II 184 consid. 4b/cc; TPF 2012 114 consid. 7.4), precisato che nel campo della cosiddetta picco- la assistenza le misure di cooperazione sono già ammesse se la condizio- ne della doppia punibilità è ossequiata alla luce di una singola fattispecie (sentenza del Tribunale federale 1C_138/2007 del 17 luglio 2007, consid.</w:t>
      </w:r>
    </w:p>
    <w:p>
      <w:r>
        <w:t>- 9 -</w:t>
      </w:r>
    </w:p>
    <w:p>
      <w:r>
        <w:rPr>
          <w:b/>
        </w:rPr>
        <w:t>E. 4</w:t>
      </w:r>
    </w:p>
    <w:p>
      <w:r>
        <w:t>Postulando l'annullamento delle decisioni impugnate, la ricorrente contesta ugualmente il mantenimento del sequestro della sua relazione n. 3 presso la banca C.</w:t>
      </w:r>
    </w:p>
    <w:p>
      <w:r>
        <w:rPr>
          <w:b/>
        </w:rPr>
        <w:t>E. 4.1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sproporzionato per rapporto a quest'ultima (DTF 130 II 329 consid. 3).</w:t>
      </w:r>
    </w:p>
    <w:p>
      <w:r>
        <w:rPr>
          <w:b/>
        </w:rPr>
        <w:t>E. 4.1.1</w:t>
      </w:r>
    </w:p>
    <w:p>
      <w:r>
        <w:t>Alla luce di quanto esposto in precedenza (v. consid. 2.2 supra), il legame tra il conto della ricorrente ed il procedimento penale italiano risulta eviden- te, ciò che permette senz'altro di confermare la legittimità del sequestro in sé.</w:t>
      </w:r>
    </w:p>
    <w:p>
      <w:r>
        <w:rPr>
          <w:b/>
        </w:rPr>
        <w:t>E. 4.1.2</w:t>
      </w:r>
    </w:p>
    <w:p>
      <w:r>
        <w:t>Per quanto riguarda l'entità dei valori sequestrati, l'autorità rogante, sulla base della documentazione bancaria che gli verrà trasmessa, avrà la pos- sibilità di analizzare tutte le operazioni avvenute sul conto, ciò che permet- terà di capire in che misura i valori ivi depositati sono di origine criminale. Allo stato attuale, occorre dunque confermare il sequestro nella sua inte- gralità (v. anche art. 11 CRic).</w:t>
      </w:r>
    </w:p>
    <w:p>
      <w:r>
        <w:rPr>
          <w:b/>
        </w:rPr>
        <w:t>E. 4.2</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 nato a scopo di restituzione o di confisca deve tuttavia rispettare il principio della proporzionalità; esso non può dunque prolungarsi in maniera indefini- ta (v. ZIMMERMANN, op. cit., n. 340). Il trascorrere del tempo può implicare il rischio d'intaccare eccessivamente la garanzia della proprietà (art. 26 cpv. 1 Cost.) o l'obbligo di celerità ancorato all'art. 29 cpv. 1 Cost. (DTF 126 II 462 consid. 5e). Per questi motivi, trascorso un certo lasso di tempo, la mi- sura coercitiva deve poter essere revocata o l'assistenza rifiutata. In questo modo, la Svizzera ha respinto una domanda d'assistenza haitiana tredici anni dopo la decisione di sequestro, non avendo lo Stato richiedente dato</w:t>
      </w:r>
    </w:p>
    <w:p>
      <w:r>
        <w:t>- 10 -</w:t>
      </w:r>
    </w:p>
    <w:p>
      <w:r>
        <w:t>seguito alle richieste d'informazioni atte a dimostrare che esisteva ancora un interesse all'esecuzione della domanda (sentenza non pubblicata del Tribunale federale 1A.222/1999 del 4 novembre 1999). D'altro canto, trat- tandosi d'assistenza accordata alle Filippine nel quadro dell'affare Marcos, il Tribunale federale ha impartito alle autorità dello Stato richiedente un ul- timo termine per produrre una decisione di prima istanza di confisca di va- lori sequestrati da oltre venti anni (sentenza del Tribunale federale 1A.335/2005 del 18 agosto 2006, consid. 6.2). Oltre a prendere in conside- razione la durata dei sequestri litigiosi, il principio della proporzionalità esi- ge inoltre che si tenga conto anche del grado di complessità dell'inchiesta. In questo senso il Tribunale penale federale ha giudicato ancora proporzio- nata una durata di dodici anni per un sequestro legato all'affare Salinas (TPF 2007 124 consid. 8.2.3).</w:t>
      </w:r>
    </w:p>
    <w:p>
      <w:r>
        <w:rPr>
          <w:b/>
        </w:rPr>
        <w:t>E. 4.3</w:t>
      </w:r>
    </w:p>
    <w:p>
      <w:r>
        <w:t>Nella fattispecie, il blocco rogatoriale è intervenuto il 5 dicembre 2012, ra- gione per cui la durata del sequestro non risulta allo stadio attuale proble- matica dal punto di vista della proporzionalità.</w:t>
      </w:r>
    </w:p>
    <w:p>
      <w:r>
        <w:rPr>
          <w:b/>
        </w:rPr>
        <w:t>E. 5</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