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RR.2013.163 vom 17. Juli 2013</w:t>
      </w:r>
    </w:p>
    <w:p>
      <w:r>
        <w:t>Bundesstrafgericht, 2013-07-17, FR</w:t>
      </w:r>
    </w:p>
    <w:p>
      <w:r>
        <w:rPr>
          <w:b/>
        </w:rPr>
        <w:t xml:space="preserve">Quelle: </w:t>
      </w:r>
      <w:r>
        <w:t>https://mcp.opencaselaw.ch/entscheid/bstger_RR.2013.163</w:t>
      </w:r>
    </w:p>
    <w:p>
      <w:r>
        <w:t>FR: TPF RR.2013.163 du 17 juillet 2013</w:t>
      </w:r>
    </w:p>
    <w:p>
      <w:r>
        <w:t>IT: TPF RR.2013.163 del 17 luglio 2013</w:t>
      </w:r>
    </w:p>
    <w:p>
      <w:pPr>
        <w:pStyle w:val="Heading2"/>
      </w:pPr>
      <w:r>
        <w:t>Regeste</w:t>
      </w:r>
    </w:p>
    <w:p>
      <w:r>
        <w:t>Extradition à la France. Décision d'extradition (art. 55 EIMP); assistance judiciaire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complétant la CEExtr (RS 0.353.934.92). Les art. 59 à 66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France (v. arrêt du Tribunal pénal fédéral RR.2008.296 du 17 décembre 2008, consid. 1.3). Les dispositions pertinentes du CAAS n’affectent pas l’application des dispositions plus larges des accords en vigueur entre la France et la Suisse (art. 59 par. 2 CAAS). Pour le surplus, la loi fédérale sur l’entraide internationale en matière pénale (EIMP; RS 351.1) et son ordonnance d'exécution (OEIMP;</w:t>
      </w:r>
    </w:p>
    <w:p>
      <w:r>
        <w:t>- 4 -</w:t>
      </w:r>
    </w:p>
    <w:p>
      <w:r>
        <w:t>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sa qualité de personne extradée, A. a la qualité pour recourir contre la décision d’extradition au sens de l’art. 21 al. 3 EIMP (ATF 122 II 373 consid. 1b et jurisprudence citée).</w:t>
      </w:r>
    </w:p>
    <w:p>
      <w:r>
        <w:rPr>
          <w:b/>
        </w:rPr>
        <w:t>E. 1.4</w:t>
      </w:r>
    </w:p>
    <w:p>
      <w:r>
        <w:t>Le délai de recours contre la décision d’extradition est de 30 jours dès la communication écrite de celle-ci (art. 50 al. 1 de la loi fédérale du 20 décembre 1968 sur la procédure administrative [PA; RS 172.021], applicable par renvoi de l’art. 39 al. 2 let. b de la loi fédérale du 19 mars 2010 sur l’organisation des autorités pénales de la Confédération [LOAP; RS 173.71]). Déposé à un bureau de poste suisse le 5 juin 2013, le recours contre la décision notifiée le 6 mai 2013 est intervenu en temps utile.</w:t>
      </w:r>
    </w:p>
    <w:p>
      <w:r>
        <w:rPr>
          <w:b/>
        </w:rPr>
        <w:t>E. 1.5</w:t>
      </w:r>
    </w:p>
    <w:p>
      <w:r>
        <w:t>Il y a lieu d’entrer en matière.</w:t>
      </w:r>
    </w:p>
    <w:p>
      <w:r>
        <w:rPr>
          <w:b/>
        </w:rPr>
        <w:t>E. 2</w:t>
      </w:r>
    </w:p>
    <w:p>
      <w:r>
        <w:t>Dans un premier grief, le recourant invoque une violation de l’art. 12 par. 2 let. a CEExtr et soutient que le jugement produit par l’Etat requérant à la base de la demande d’extradition ne constitue pas une décision de condamnation exécutoire.</w:t>
      </w:r>
    </w:p>
    <w:p>
      <w:r>
        <w:rPr>
          <w:b/>
        </w:rPr>
        <w:t>E. 2.1</w:t>
      </w:r>
    </w:p>
    <w:p>
      <w:r>
        <w:t>A teneur de l'art. 12 par. 2 let. a CEExtr, la demande d’extradition doit être accompagnée de l’original ou l’expédition authentique d’une décision de condamnation exécutoire, reprise à l’art. 41 EIMP. La CEExtr (en particulier son art. 12 relatif à la demande d’extradition et aux pièces à fournir à l’appui de cette demande) ne prévoit aucune réserve à propos des jugements rendus par défaut, lesquels sont assimilés à une décision de condamnation exécutoire (arrêt du Tribunal fédéral 1A.175/2002 du 8 octobre 2002, consid. 2.2). Le respect des droits de la défense en cas de procédure par défaut fait en revanche l’objet du titre III du Deuxième Protocole additionnel du 17 mars 1978 à la CEExtr (RS 0.353.12; ci-après:</w:t>
      </w:r>
    </w:p>
    <w:p>
      <w:r>
        <w:t>- 5 -</w:t>
      </w:r>
    </w:p>
    <w:p>
      <w:r>
        <w:t>le Deuxième Protocole à la CEExtr). Aux termes de l'art. 3 par. 1 de ce traité,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(cf. aussi l'art. 37 al. 2 EIMP, de teneur identique); l'Etat requérant peut alors soit exécuter le jugement en question si le condamné ne fait pas opposition, soit poursuivre l'extradé dans le cas contraire (ATF 129 II 56 consid. 6.2). Contrairement à la Suisse, la République française n’a toutefois pas ratifié le Deuxième Protocole à la CEExtr. L’art. 3 par. 1 de ce traité ne s’applique partant pas aux procédures d’extradition entre ces deux Etats. En tout état de cause, le droit français prévoit que l’opposition formée par une personne à la suite d’un mandat d’arrêt émis pour l’exécution d’un jugement prononcé in absentia lui permet d’être rejugée. Elle n’emporte pas nullité de la condamnation par défaut (voir act. 4.10).</w:t>
      </w:r>
    </w:p>
    <w:p>
      <w:r>
        <w:rPr>
          <w:b/>
        </w:rPr>
        <w:t>E. 2.2</w:t>
      </w:r>
    </w:p>
    <w:p>
      <w:r>
        <w:t>En l’espèce, le jugement français prononcé in absentia a été notifié à A. en date du 12 février 2013, lors de son audition par le MP-VD. A. a formé opposition contre ledit jugement le 21 février 2013 (act. 1.4). Par jugement du 6 juin 2013, A. a, à nouveau, été condamné, cette fois-ci semble-t-il en contradictoire (voir les indications sur act. 6.1). Son conseil français a interjeté appel contre ce dernier jugement en date du 14 juin 2013 (act. 6.1). Vu ces développements, la question de savoir si ce jugement est exécutoire au sens de l'art. 12 par. 2 let. a CEExtr est donc ouverte. Elle pourra en l'occurrence souffrir de le rester (voir cep. arrêt du Tribunal fédéral 1A.175/2002 du 8 octobre 2002, consid. 3). En tant que la demande formelle d’extradition a été formulée sur la base d’une décision judiciaire conforme aux exigences de la CEExtr et que la procédure d’extradition suisse est indépendante de la procédure judiciaire française, ni l’opposition au jugement français, ni les suites de celle-ci ne sauraient être considérées comme un obstacle à l’extradition. De plus, les autorités françaises se fondent par ailleurs sur un mandat d'arrêt pour demander l'extradition du recourant, mandat émis en date du 12 février 2010 en vertu de l'art. 465 du code de procédure pénale française (voir annexe à act. 4.2). Or, contrairement à ce que prétend le recourant dans sa réplique, le mandat d'arrêt prononcé consécutivement à un jugement continue à produire son effet malgré l'opposition ou l'appel de la personne concernée (voir art. 465 al. 2 et 3). Le tribunal ou la cour ont cependant la faculté par décision spéciale et motivée d'en ordonner la mainlevée (al. 4). C'est donc dire que, sauf mainlevée, le mandat d'arrêt demeure exécutoire nonobstant</w:t>
      </w:r>
    </w:p>
    <w:p>
      <w:r>
        <w:t>- 6 -</w:t>
      </w:r>
    </w:p>
    <w:p>
      <w:r>
        <w:t>l'exercice des voies de droit. En tant que besoin, l'existence de ce mandat d'arrêt serait ainsi suffisante sous l'angle des art. 12 par. 2 let. a CEExtr et 41 EIMP (voir aussi arrêt non publié du Tribunal fédéral 1A.191/1989 du 30 janvier 1990, consid. 5b p. 15). A défaut de retrait formel ou de modification, par les autorités françaises compétentes, de la demande d’extradition, cette dernière doit être exécutée en vertu des obligations conventionnelles auxquelles la Suisse est tenue, ce qui n’empêche en rien le recourant de faire valoir ses droits dans la procédure nationale française menée à son encontre.</w:t>
      </w:r>
    </w:p>
    <w:p>
      <w:r>
        <w:rPr>
          <w:b/>
        </w:rPr>
        <w:t>E. 2.3</w:t>
      </w:r>
    </w:p>
    <w:p>
      <w:r>
        <w:t>Le premier grief doit être rejeté.</w:t>
      </w:r>
    </w:p>
    <w:p>
      <w:r>
        <w:rPr>
          <w:b/>
        </w:rPr>
        <w:t>E. 3</w:t>
      </w:r>
    </w:p>
    <w:p>
      <w:r>
        <w:t>Le recourant invoque également une violation de l’art. 8 de la Convention de sauvegarde des droits de l’homme et des libertés fondamentales (CEDH; RS 0.101) dans la mesure où son incarcération en France le tiendrait éloigné de sa famille et des médecins en Suisse qui le suivent dans le cadre d’un traitement médicamenteux lourd en tant qu’il souffre de troubles maniaco-dépressifs (bipolarité type II). Ces troubles constitueraient également un obstacle à l’extradition, en tant que A. disposerait d’un "réseau social très limité" en France.</w:t>
      </w:r>
    </w:p>
    <w:p>
      <w:r>
        <w:rPr>
          <w:b/>
        </w:rPr>
        <w:t>E. 3.1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3.2; 1A.9/2001 du</w:t>
      </w:r>
    </w:p>
    <w:p>
      <w:r>
        <w:t>- 7 -</w:t>
      </w:r>
    </w:p>
    <w:p>
      <w:r>
        <w:t>16 février 2001, consid. 3c; ZIMMERMANN, La coopération judiciaire internationale en matière pénale, 3e éd., Berne 2009, n° 219).</w:t>
      </w:r>
    </w:p>
    <w:p>
      <w:r>
        <w:rPr>
          <w:b/>
        </w:rPr>
        <w:t>E. 3.2</w:t>
      </w:r>
    </w:p>
    <w:p>
      <w:r>
        <w:t>En l’espèce, le recourant est domicilié en Suisse depuis 1994. Il prétend y vivre avec ses quatre enfants, dont trois sont mineurs (7, 13 et 15 ans respectivement). Néanmoins, dans le formulaire d’assistance judiciaire versé au dossier, il indique être séparé, donne une adresse différente de celle de son épouse, et dans le champ "adresse des enfants", le recourant indique que ses trois enfants mineurs habitent avec leur mère. De plus, quand bien même un des enfants est autiste et soigné dans une institution spécialisée de la région lausannoise, tant les enfants que la compagne de A. auront la possibilité de lui rendre visite, lui écrire et lui téléphoner. Ainsi, l’art. 8 CEDH ne saurait trouver application pour empêcher l’extradition. Aucun indice ne permet d’affirmer que le recourant ne recevra pas en France un traitement équivalent à celui qui lui est assuré par ses médecins suisses. Finalement, l’argument selon lequel le recourant ne dispose que d’un réseau social limité en France ne saurait en tout état de cause être pris en compte afin de déterminer s’il doit être extradé. Néanmoins, force est de relever que le recourant a lui-même déclaré que ses parents sont domiciliés à Strasbourg (procès-verbal d’audition du 12 février 2013, act. 4.6, ligne 58).</w:t>
      </w:r>
    </w:p>
    <w:p>
      <w:r>
        <w:rPr>
          <w:b/>
        </w:rPr>
        <w:t>E. 3.3</w:t>
      </w:r>
    </w:p>
    <w:p>
      <w:r>
        <w:t>En définitive, il n’y a pas de motif suffisant pour accueillir favorablement ce grief.</w:t>
      </w:r>
    </w:p>
    <w:p>
      <w:r>
        <w:rPr>
          <w:b/>
        </w:rPr>
        <w:t>E. 4</w:t>
      </w:r>
    </w:p>
    <w:p>
      <w:r>
        <w:t>Dans un dernier moyen, le recourant argue du fait que la décision d’extradition serait inopportune compte tenu des circonstances. Bien que ce motif de recours ne soit pas mentionné à l’art. 80i EIMP, conformément à sa jurisprudence, la Cour de céans examine également l’opportunité de la décision querellée, en application de l’art. 49 let. c PA (TPF 2007 57 en matière de "petite entraide" et arrêt du Tribunal pénal fédéral RR.2007.27 du 10 avril 2007, consid. 2.2 en matière d’extradition). Pour étayer la prétendue inopportunité de la décision querellée, le recourant se contente de reprendre les griefs précédemment invoqués dans son recours (v. supra consid. 2 et 3). Or, il ressort des considérants qui précèdent et des art. 1 CEExtr et 1 de l’Accord CEExtr franco-suisse que, lorsque les conditions de la CEExtr sont remplies, la Partie requise n’a pas de pouvoir discrétionnaire pour accorder ou refuser l’extradition (arrêt du Tribunal pénal fédéral RR.2010.2 du 5 février 2010, consid. 3). En l’occurrence, dès lors que les conditions de l’extradition étaient remplies, l’autorité d’exécution ne disposait d’aucune latitude. En d’autres termes,</w:t>
      </w:r>
    </w:p>
    <w:p>
      <w:r>
        <w:t>- 8 -</w:t>
      </w:r>
    </w:p>
    <w:p>
      <w:r>
        <w:t>elle avait l’obligation d’accorder l’extradition, sans aucune possibilité d'imposer une solution différente parce que jugée plus opportune. Le grief tiré de l’inopportunité est infondé et doit, partant, être rejeté.</w:t>
      </w:r>
    </w:p>
    <w:p>
      <w:r>
        <w:rPr>
          <w:b/>
        </w:rPr>
        <w:t>E. 5</w:t>
      </w:r>
    </w:p>
    <w:p>
      <w:r>
        <w:t>Le recourant sollicite l’octroi de l’assistance judiciaire et la nomination de Me Pascal de Preux en qualité de défenseur d’office.</w:t>
      </w:r>
    </w:p>
    <w:p>
      <w:r>
        <w:rPr>
          <w:b/>
        </w:rPr>
        <w:t>E. 5.1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5.2</w:t>
      </w:r>
    </w:p>
    <w:p>
      <w:r>
        <w:t>En l’espèce, l’indigence du recourant paraît établie.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Une partie ne doit pas pouvoir mener un procès qu'elle ne conduirait pas à ses frais, uniquement parce qu'il ne lui coûte rien (voir à cet égard ATF 138 II 217 consid. 2.2.4). Dans le cas présent, force est de constater que, même s’il n’est pas fait droit aux conclusions du recourant lesquelles tendaient à l’annulation de la décision entreprise, il n’en demeure pas moins que la question du caractère exécutoire du jugement français méritait un plus ample examen, ou, à tout le moins, une clarification de la situation en France. Il doit par conséquent être fait droit à la demande d’assistance judiciaire formulée par le recourant, et il sera renoncé au prélèvement d’un émolument judiciaire. Me Pascal de Preux est désigné en qualité de mandataire d’office de A. dans le cadre de la présente procédure.</w:t>
      </w:r>
    </w:p>
    <w:p>
      <w:r>
        <w:rPr>
          <w:b/>
        </w:rPr>
        <w:t>E. 5.3</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Aucun décompte n’a en l’espèce été transmis à l’appui du recours. Vu la faible</w:t>
      </w:r>
    </w:p>
    <w:p>
      <w:r>
        <w:t>- 9 -</w:t>
      </w:r>
    </w:p>
    <w:p>
      <w:r>
        <w:t>ampleur et la difficulté toute relative de la cause, et dans les limites du RFPPF, une indemnité d’un montant de CHF 1'500.--,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