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RR.2013.153 vom 26. Juli 2013</w:t>
      </w:r>
    </w:p>
    <w:p>
      <w:r>
        <w:t>Bundesstrafgericht, 2013-07-26, IT</w:t>
      </w:r>
    </w:p>
    <w:p>
      <w:r>
        <w:rPr>
          <w:b/>
        </w:rPr>
        <w:t xml:space="preserve">Quelle: </w:t>
      </w:r>
      <w:r>
        <w:t>https://mcp.opencaselaw.ch/entscheid/bstger_RR.2013.153</w:t>
      </w:r>
    </w:p>
    <w:p>
      <w:r>
        <w:t>FR: TPF RR.2013.153 du 26 juillet 2013</w:t>
      </w:r>
    </w:p>
    <w:p>
      <w:r>
        <w:t>IT: TPF RR.2013.153 del 26 luglio 2013</w:t>
      </w:r>
    </w:p>
    <w:p>
      <w:pPr>
        <w:pStyle w:val="Heading2"/>
      </w:pPr>
      <w:r>
        <w:t>Regeste</w:t>
      </w:r>
    </w:p>
    <w:p>
      <w:r>
        <w:t>Assistenza giudiziaria internazionale in materia penale all'Italia/Consegna di mezzi di prova (art. 74 AIMP) e sequestro (art. 33a OAIMP): doppia punibilità e proporzionalità.</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 zione del Tribunale penale federale (ROTPF; RS 173.713.161), la Corte dei reclami penali giudica i reclami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w:t>
      </w:r>
    </w:p>
    <w:p>
      <w:r>
        <w:t>- 4 -</w:t>
      </w:r>
    </w:p>
    <w:p>
      <w:r>
        <w:t>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della ricorrente, ti- tolare dei conti oggetto della criticata misura rogatoriale, è pacifica (v. art. 80h lett. b AIMP e art. 9a lett. a OAIMP; DTF 137 IV 134 consid. 5.2.1; 118 Ib 547 consid. 1d; TPF 2007 79 consid. 1.6).</w:t>
      </w:r>
    </w:p>
    <w:p>
      <w:r>
        <w:rPr>
          <w:b/>
        </w:rPr>
        <w:t>E. 2</w:t>
      </w:r>
    </w:p>
    <w:p>
      <w:r>
        <w:t>La ricorrente censura la violazione del principio della doppia punibilità. Con- frontandosi con i fatti oggetto d'imputazione, a suo dire ben delineati e cir- coscritti, e non con la loro qualifica giuridica, il parallelo fra norme italiane e svizzere effettuato dall'autorità d'esecuzione in concreto non reggerebbe.</w:t>
      </w:r>
    </w:p>
    <w:p>
      <w:r>
        <w:rPr>
          <w:b/>
        </w:rPr>
        <w:t>E. 2.1</w:t>
      </w:r>
    </w:p>
    <w:p>
      <w:r>
        <w:t>Aderendo alla CEAG, la Svizzera ha posto il principio della doppia punibilità quale condizione all’esecuzione di ogni commissione rogatoria esigente l’applicazione di una qualsiasi misura coercitiva (v. art. 5 n. 1 lett. a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all'art. 64 cpv. 1 AIMP. Nell'ambito dell'esame della doppia punibilità, l'autorità non si scosta dall'e- sposto dei fatti contenuto nella domanda, fatti salvi gli errori, le lacune o al- tre contraddizioni evidenti ed immediatamente rilevati (DTF 132 II 81 con- sid. 2.1; 118 Ib 111 consid 5b). Il Tribunale non deve procedere a un esa- me dei reati e delle norme penali menzionati nella domanda di assistenza, ma deve semplicemente vagliare, limitandosi a un esame "prima facie", se i fatti addotti nella domanda estera - effettuata la dovuta trasposizione - sa- 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 ratterizzati, nelle due legislazioni toccate, dalla medesima qualificazione giuridica (DTF 124 II 184 consid. 4b/cc; TPF 2012 114 consid. 7.4).</w:t>
      </w:r>
    </w:p>
    <w:p>
      <w:r>
        <w:rPr>
          <w:b/>
        </w:rPr>
        <w:t>E. 2.2</w:t>
      </w:r>
    </w:p>
    <w:p>
      <w:r>
        <w:t>In concreto, l'autorità rogante sospetta che B. abbia concluso un patto con un'associazione mafiosa che avrebbe previsto, a fronte della promessa dei</w:t>
      </w:r>
    </w:p>
    <w:p>
      <w:r>
        <w:t>- 5 -</w:t>
      </w:r>
    </w:p>
    <w:p>
      <w:r>
        <w:t>rappresentanti delle cosche della 'ndrangheta di procurare un pacchetto cospicuo di voti nella misura di circa 4'000 preferenze a suo favore, voti che egli avrebbe saputo sarebbero stati raccolti mediante la pressione rappre- sentata dalla forza di intimidazione dell'associazione mafiosa, il suo impe- gno di erogare, in più rate, la somma complessiva di almeno EUR 200'000.- - (EUR 50.-- a voto). Impegno che sarebbe stato rispettato, una volta otte- nuta la rielezione a consigliere regionale (con un totale di 11'217 voti di pre- ferenza) e la carica di assessore per la regione Lombardia, mediante il ver- samento di successive rate di denaro contante. Egli avrebbe inoltre agito quale concorrente esterno della 'ndrangheta operante in Lombardia, intrat- tenendo ripetuti contatti telefonici con esponenti mafiosi e fornendo, consa- pevolmente e volontariamente, un contributo importante al rafforzamento del giro d'affari, del controllo del territorio, o del prestigio e della fama crimi- nali dell'associazione mafiosa, mettendosi a completa disposizione degli esponenti mafiosi con specifici comportamenti descritti in rogatoria: ad e- sempio, facendo assumere D., figlia del presunto mafioso E., presso l'A- zienda Lombarda F., ente pubblico controllato dal suo assessorato regiona- le, facilitando così l'inserimento dell'associazione mafiosa in uno dei gangli vitali della Regione Lombardia (v. act. 6.2 pag. 3). B. è infine accusato di aver commesso, su richiesta di esponenti mafiosi, svariati atti contrari al suo dovere di ufficio, asservendo sistematicamente la sua funzione pubbli- ca agli interessi privati dei gruppi criminali mafiosi. Egli avrebbe in particola- re promesso agevolazioni nell'assegnazione di appalti pubblici di qualsiasi tipo gestiti dalla Regione Lombardia e altri favori a persone legate al soda- lizio criminale (v. act. 6.2 pag. 4). Se trasposti nel contesto giuridico elveti- co, gli atti appena descritti sarebbero certamente sussumibili ai reati di cor- ruzione passiva ai sensi dell'art. 322ter CP, abuso d'autorità ai sensi dell'art. 312 CP nonché sostegno e/o appartenenza ad un'organizzazione criminale giusta l'art. 260ter CP, per cui la doppia punibilità è pacificamente data, tan- to più che nel campo della cosiddetta piccola assistenza le misure di coo- perazione sono già ammesse se la condizione della doppia punibilità è os- sequiata alla luce di una singola fattispecie (sentenza del Tribunale federa- le 1C_138/2007 del 17 luglio 2007, consid. 2.3 e rinvii).</w:t>
      </w:r>
    </w:p>
    <w:p>
      <w:r>
        <w:rPr>
          <w:b/>
        </w:rPr>
        <w:t>E. 3</w:t>
      </w:r>
    </w:p>
    <w:p>
      <w:r>
        <w:t>Secondo l'insorgente la decisione impugnata violerebbe il principio della proporzionalità, non essendo le richieste dell'autorità rogante in relazione con l'oggetto delle indagini all'estero. Ci si troverebbe in realtà di fronte ad una ricerca indiscriminata di prove.</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w:t>
      </w:r>
    </w:p>
    <w:p>
      <w:r>
        <w:t>- 6 -</w:t>
      </w:r>
    </w:p>
    <w:p>
      <w:r>
        <w:t>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 stere chiedono informazioni su conti bancari nell'ambito di procedimenti per reati patrimoniali o corruttivi, come quello qui in esame, esse necessitano di regola di tutti i documenti, perché debbono poter individuare il titolare giuri- dico ed economico dei conti eventualmente foraggiati con proventi illeciti, per sapere a quali persone o entità giuridiche possano essere ricollegati (DTF 129 II 462 consid. 5.5; 124 II 180 consid. 3c inedito; 121 II 241 con- sid. 3b e c; sentenze del Tribunale federale 1A.177/2006 del 10 dicembre 2007, consid. 5.5; 1A.227/2006 del 22 febbraio 2007, consid. 3.2; 1A.195/2005 del 1° settembre 2005 in fine; sull'utilità dei documenti d'aper- tura di un conto v. sentenza del Tribunale federale 1A.182/2006 del 9 ago- sto 2007, consid. 3.2; cfr. anche DTF 130 II 14 consid. 4.1). La trasmissio- ne dell'intera documentazione potrà evitare altresì l'inoltro di eventuali do- mande complementari (DTF 136 IV 82 consid. 4.1; 121 II 241 consid. 3; sentenza del Tribunale federale 1C_486/2008 dell'11 novembre 2008, con- sid. 2.4). Si tratta di una maniera di procedere necessaria, se del caso, ad accertare anche l'estraneità delle persone interessate (DTF 129 II 462 con- 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alla cosiddetta utilità po- tenziale,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 xpedition”, la quale è definita dalla giurisprudenza una ricerca generale ed indeterminata di mezzi di prova volta a fondare un sospetto senza che esi- stano pregressi elementi concreti a sostegno dello stesso (DTF 125 II 65 consid. 6b/aa e rinvii). Questo genere di inchieste non è consentito in ambi- to di assistenza giudiziaria internazionale sia alla luce del principio della proporzionalità che di quello della specialità. Tale divieto si fonda sempli- cemente sul fatto che è inammissibile procedere a casaccio nella raccolta delle prove (DTF 113 I 257 consid. 5c).</w:t>
      </w:r>
    </w:p>
    <w:p>
      <w:r>
        <w:t>- 7 -</w:t>
      </w:r>
    </w:p>
    <w:p>
      <w:r>
        <w:rPr>
          <w:b/>
        </w:rPr>
        <w:t>E. 3.2</w:t>
      </w:r>
    </w:p>
    <w:p>
      <w:r>
        <w:t>Nella fattispecie, l'autorità rogante sospetta che le varie somme di denaro versate dall'indagato alla 'ndrangheta per l'acquisto di voti utili alla sua rie- lezione quale consigliere regionale e all'ottenimento della carica di asses- sore presso la Regione Lombardia provengano dai conti oggetto della deci- sione impugnata. Gli inquirenti italiani ritengono che la ricorrente, intestata- ria dei conti nonché compagna e convivente di B., possa fungere da pre- stanome per relazioni bancarie riconducibili in realtà al predetto, ipotesi che sarebbe avvalorata da pedinamenti ed intercettazioni telefoniche effettuati dalle autorità italiane in collaborazione con quelle svizzere (v. act. 6.2 pag.</w:t>
      </w:r>
    </w:p>
    <w:p>
      <w:r>
        <w:rPr>
          <w:b/>
        </w:rPr>
        <w:t>E. 5</w:t>
      </w:r>
    </w:p>
    <w:p>
      <w:r>
        <w:t>Visto quanto precede, la decisione impugnata va integralmente confermata ed il gravame respinto, sia in via principale che subordinata. Le spese se- guono la soccombenza (v. art. 63 cpv. 1 della legge federale sulla procedu- 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 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