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RR.2013.14 vom 24. Mai 2013</w:t>
      </w:r>
    </w:p>
    <w:p>
      <w:r>
        <w:t>Bundesstrafgericht, 2013-05-24, DE</w:t>
      </w:r>
    </w:p>
    <w:p>
      <w:r>
        <w:rPr>
          <w:b/>
        </w:rPr>
        <w:t xml:space="preserve">Quelle: </w:t>
      </w:r>
      <w:r>
        <w:t>https://mcp.opencaselaw.ch/entscheid/bstger_RR.2013.14</w:t>
      </w:r>
    </w:p>
    <w:p>
      <w:r>
        <w:t>FR: TPF RR.2013.14 du 24 mai 2013</w:t>
      </w:r>
    </w:p>
    <w:p>
      <w:r>
        <w:t>IT: TPF RR.2013.14 del 24 maggio 2013</w:t>
      </w:r>
    </w:p>
    <w:p>
      <w:pPr>
        <w:pStyle w:val="Heading2"/>
      </w:pPr>
      <w:r>
        <w:t>Regeste</w:t>
      </w:r>
    </w:p>
    <w:p>
      <w:r>
        <w:t>Internationale Rechtshilfe in Strafsachen an Deutschland. Beschlagnahme von Vermögenswerten (Art. 80e Abs. 2 lit. a IRSG). Aufschiebende Wirkung (Art. 80l IRSG).</w:t>
      </w:r>
    </w:p>
    <w:p>
      <w:pPr>
        <w:pStyle w:val="Heading2"/>
      </w:pPr>
      <w:r>
        <w:t>Erwägungen</w:t>
      </w:r>
    </w:p>
    <w:p>
      <w:r>
        <w:rPr>
          <w:b/>
        </w:rPr>
        <w:t>E. 1</w:t>
      </w:r>
    </w:p>
    <w:p>
      <w:r>
        <w:t>Die Beschwerdeverfahren RR.2013.14 und RR.2013.31-32 sind in den we- sentlichen Punkten identisch, weshalb es sich rechtfertigt, diese in einem einzigen Entscheid zu erledigen (vgl. BGE 126 V 283 E. 1 S. 285; Urteile des Bundesgerichtes 6S.709 + 6S.710/2000 vom 26. Mai 2003, E. 1; 1A.60 – 62 vom 22. Juni 2000, E. 1a; ALFRED KÖLZ/ISABELLE HÄNER, Ver- waltungsverfahren und Verwaltungsrechtspflege des Bundes, 2. Auflage, Zürich 1998, Nr. 155 S. 54 f.).</w:t>
      </w:r>
    </w:p>
    <w:p>
      <w:r>
        <w:t>- 5 -</w:t>
      </w:r>
    </w:p>
    <w:p>
      <w:r>
        <w:rPr>
          <w:b/>
        </w:rPr>
        <w:t>E. 2.1</w:t>
      </w:r>
    </w:p>
    <w:p>
      <w:r>
        <w:t>Für die Rechtshilfe zwischen Deutschland und der Schweiz sind in erster Linie das Europäische Übereinkommen vom 20. April 1959 über die Rechtshilfe in Strafsachen (EUeR, SR 0.351.1) sowie der Vertrag vom 13. November 1969 zwischen der Schweizerischen Eidgenossenschaft und der Bundesrepublik Deutschland über die Ergänzung des EUeR und die Er- leichterung seiner Anwendung (ZV EUeR, SR 0.351.913.61)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rPr>
          <w:b/>
        </w:rPr>
        <w:t>E. 2.2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3.1</w:t>
      </w:r>
    </w:p>
    <w:p>
      <w:r>
        <w:t>Vorliegend richten sich die Beschwerden gegen eine Zwischenverfügung. Die Beschwerdefrist gegen Zwischenverfügungen beträgt zehn Tage ab der schriftlichen Mitteilung der Verfügung (Art. 80k IRSG).</w:t>
      </w:r>
    </w:p>
    <w:p>
      <w:r>
        <w:rPr>
          <w:b/>
        </w:rPr>
        <w:t>E. 3.1.1</w:t>
      </w:r>
    </w:p>
    <w:p>
      <w:r>
        <w:t>Die Beschwerde vom 3. Dezember 2013 (Postaufgabe 3. Dezember 2013) gegen die Verfügung der StA/SZ vom 21. November 2012 erfolgte somit fristgerecht; die Einreichung bei einer unzuständigen Behörde (Kantonsge- richt Schwyz) schadet den Beschwerdeführern nicht (Art. 12 Abs. 1 IRSG i.V.m. Art. 21 Abs. 2 VwVG).</w:t>
      </w:r>
    </w:p>
    <w:p>
      <w:r>
        <w:rPr>
          <w:b/>
        </w:rPr>
        <w:t>E. 3.1.2</w:t>
      </w:r>
    </w:p>
    <w:p>
      <w:r>
        <w:t>Die Zwischenverfügung vom 31. Dezember 2012 wurde am 7. Januar 2013 dem Vertreter der A. AG eröffnet. Die Beschwerde vom 17. Januar 2013 (Postaufgabe 17. Januar 2013) erfolgte somit auch fristgerecht.</w:t>
      </w:r>
    </w:p>
    <w:p>
      <w:r>
        <w:t>- 6 -</w:t>
      </w:r>
    </w:p>
    <w:p>
      <w:r>
        <w:rPr>
          <w:b/>
        </w:rPr>
        <w:t>E. 3.2</w:t>
      </w:r>
    </w:p>
    <w:p>
      <w:r>
        <w:t>Der Schlussverfügung vorangehende Zwischenverfügungen können bei der Beschwerdekammer des Bundesstrafgerichts nur ausnahmsweise selb- ständig angefochten werden, sofern sie durch die Beschlagnahme von Vermögenswerten und Wertgegenständen oder durch die Anwesenheit von am ausländischen Prozess beteiligten Personen einen unmittelbaren und nicht wieder gutzumachenden Nachteil bewirken (Art. 80e Abs. 2 IRSG).</w:t>
      </w:r>
    </w:p>
    <w:p>
      <w:r>
        <w:rPr>
          <w:b/>
        </w:rPr>
        <w:t>E. 3.3</w:t>
      </w:r>
    </w:p>
    <w:p>
      <w:r>
        <w:t>Richtet sich die Beschwerde wie vorliegend gegen eine Zwischenverfü- gung, so muss die beschwerdeführende Person nach der bundesgerichtli- chen Rechtsprechung mit konkreten Angaben glaubhaft machen, inwiefern die rechtshilfeweise Beschlagnahme von Vermögenswerten bzw. die Ver- weigerung einer Teilfreigabe zu einem nicht wieder gutzumachenden Nach- teil führt. In Betracht kommen insbesondere drohende Verletzungen von konkreten vertraglichen Verpflichtungen, unmittelbar bevorstehende Betrei- bungsschritte, der drohende Entzug von behördlichen Bewilligungen oder das Entgehen von konkreten Geschäften. Die Notwendigkeit, laufende Aus- lagen zu begleichen, genügt grundsätzlich nicht um einen unmittelbaren und nicht wieder gutzumachenden Nachteil im Sinne von Art. 80e Ziff. 2 lit. a IRSG zu bewirken. Der drohende unmittelbare und nicht wieder gut- zumachende Nachteil muss glaubhaft gemacht werden; die blosse Behaup- tung eines solchen Nachteils genügt nicht (zum Ganzen BGE 130 II 329 E. 2 S. 332; 128 II 353 E. 3 S. 354 m.w.H.; siehe zuletzt u. a. auch die Ent- scheide des Bundesstrafgerichts RR.2012.291 vom 16. Januar 2013, E. 2.3; RR.2012.2 vom 15. Mai 2012, E. 2.3). Die Annahme eines unmittelba- ren und nicht wieder gutzumachenden Nachteils hat restriktiv zu erfolgen (Botschaft betreffend die Änderung des Rechtshilfegesetzes und des Bun- desgesetzes zum Staatsvertrag mit den USA über gegenseitige Rechtshilfe in Strafsachen sowie den Bundesbeschluss über einen Vorbehalt zum Eu- ropäischen Übereinkommen über die Rechtshilfe in Strafsachen vom 29. März 1995, BBl 1995 III S. 13).</w:t>
      </w:r>
    </w:p>
    <w:p>
      <w:r>
        <w:rPr>
          <w:b/>
        </w:rPr>
        <w:t>E. 3.4</w:t>
      </w:r>
    </w:p>
    <w:p>
      <w:r>
        <w:t>Die Beschwerdeführer machen geltend, ein unmittelbar und nicht wieder gutzumachender Nachteil sei anzunehmen, wenn der Betroffene durch die Beschlagnahme oder Kontosperre illiquid werde und z.B. Löhne oder Steu- ern nicht mehr zahlen könne, eine Pfändung, der Konkurs oder der Entzug einer Bewilligung drohe. Eine solche Situation sei vorliegend gegeben. Sämtliche Konten der A. AG seien gesperrt worden. Dem stünden fällige Verbindlichkeiten allein für Löhne und Miete in der Höhe von jetzt schon mehreren Tausend Franken gegenüber. Die Beschwerdeführer legen 6 Ar- beitsverträge von Angestellten der A. AG und mehrere, der A. AG gestell- ten Rechnungen bei (RR.2013.14, act. 1).</w:t>
      </w:r>
    </w:p>
    <w:p>
      <w:r>
        <w:t>- 7 -</w:t>
      </w:r>
    </w:p>
    <w:p>
      <w:r>
        <w:rPr>
          <w:b/>
        </w:rPr>
        <w:t>E. 3.5</w:t>
      </w:r>
    </w:p>
    <w:p>
      <w:r>
        <w:t>Der Umstand, dass die einzigen drei Konten der A. AG bei der Bank C. AG gesperrt wurden und die Beschwerdeführer behaupten, die A. AG sei da- durch illiquid geworden, genügt nicht, um glaubhaft zu machen, dass die A. AG tatsächlich keine weiteren liquiden Mittel bzw. Aktiven für ihre Ge- schäftstätigkeit zur Verfügung stehen. Die Beschwerdeführer verkennen zudem, dass es sich bei den von ihnen geltend gemachten Verbindlichkei- ten der A. AG um laufende Auslagen handelt, und die Notwendigkeit diese zu begleichen, keinen unmittelbaren und nicht wieder gutzumachenden Nachteil im Sinne der obzitierten Rechtsprechung darstellt (s. supra 3.3). Folglich gelingt es den Beschwerdeführern nicht, einen unmittelbaren und nicht wiedergutzumachenden Nachteil glaubhaft zu machen, weswegen auf die vorliegenden Beschwerden nicht einzutreten ist.</w:t>
      </w:r>
    </w:p>
    <w:p>
      <w:r>
        <w:rPr>
          <w:b/>
        </w:rPr>
        <w:t>E. 3.6</w:t>
      </w:r>
    </w:p>
    <w:p>
      <w:r>
        <w:t>Vollständigkeitshalber sei festgehalten, dass zur Beschwerdeführung nur berechtigt ist,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 Vorliegend ist die A. AG Kontoinhaberin, weswegen B. auch gestützt auf Art. 80h lit. b IRSG nicht beschwerdelegitimiert wäre.</w:t>
      </w:r>
    </w:p>
    <w:p>
      <w:r>
        <w:rPr>
          <w:b/>
        </w:rPr>
        <w:t>E. 4</w:t>
      </w:r>
    </w:p>
    <w:p>
      <w:r>
        <w:t>Mit dem Entscheid in der Sache selbst wird das Gesuch um Erteilung der aufschiebenden Wirkung gegenstandslos. Dieses ist als erledigt von der Geschäftskontrolle abzuschreiben.</w:t>
      </w:r>
    </w:p>
    <w:p>
      <w:r>
        <w:rPr>
          <w:b/>
        </w:rPr>
        <w:t>E. 5</w:t>
      </w:r>
    </w:p>
    <w:p>
      <w:r>
        <w:t>Bei diesem Ausgang des Verfahrens haben die Beschwerdeführer die Ge- richtskosten zu tragen (Art. 63 Abs. 1 VwVG i.V.m. Art. 39 Abs. 2 lit. b StBOG). Für die Berechnung der Gerichtsgebühren gelangt das Reglement des Bundesstrafgerichts vom 31. August 2010 über die Kosten, Gebühren und Entschädigungen in Bundesstrafverfahren (BStKR; SR 173.713.162) i.V.m. Art. 63 Abs. 5 VwVG zur Anwendung. Unter Berücksichtigung aller Umstände ist die Gerichtsgebühr vorliegend auf Fr. 2'000.-- festzusetzen und den Beschwerdeführern unter solidarischer Haftbarkeit aufzuerlegen, unter Anrechnung des entsprechenden Betrages am Kostenvorschuss von Fr. 10'000.--. Die Bundesstrafgerichtskasse ist anzuweisen, den Beschwer- deführern den Restbetrag von Fr. 8'000.--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