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RR.2013.136 vom 19. Juli 2013</w:t>
      </w:r>
    </w:p>
    <w:p>
      <w:r>
        <w:t>Bundesstrafgericht, 2013-07-19, DE</w:t>
      </w:r>
    </w:p>
    <w:p>
      <w:r>
        <w:rPr>
          <w:b/>
        </w:rPr>
        <w:t xml:space="preserve">Quelle: </w:t>
      </w:r>
      <w:r>
        <w:t>https://mcp.opencaselaw.ch/entscheid/bstger_RR.2013.136</w:t>
      </w:r>
    </w:p>
    <w:p>
      <w:r>
        <w:t>FR: TPF RR.2013.136 du 19 juillet 2013</w:t>
      </w:r>
    </w:p>
    <w:p>
      <w:r>
        <w:t>IT: TPF RR.2013.136 del 19 luglio 2013</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beiden hierzu ergangenen Zusatzprotokolle vom 15. Oktober 1975 (ZPI EAUe; SR 0.353.11) bzw. vom 17. März 1978 (ZPII EAUe; SR 0.353.12), welchen beide Staaten beigetreten sind, mass- gebend. Ausserdem gelangen die Bestimmungen der Art. 59 ff. des Über- einkommens vom 19. Juni 1990 zur Durchführung des Übereinkommens von Schengen vom 14. Juni 1985 (Schengener Durchführungsüberein- kommen, SDÜ; Abl. L 239 vom 22. September 2000, S. 19 – 62) zur An- wendung (BGE 136 IV 88 E. 3.1 S. 89), wobei die zwischen den Vertrags- 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w:t>
      </w:r>
    </w:p>
    <w:p>
      <w:r>
        <w:t>- 4 -</w:t>
      </w:r>
    </w:p>
    <w:p>
      <w:r>
        <w:t>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Rechtshilfe stellt (BGE 137 IV 33 E. 2.2.2 S. 40 f.; 136 IV 82 E. 3.1; 122 II 140 E. 2 S. 142). Vorbehalten bleibt die Wahrung der Menschenrechte (BGE 135 IV 212 E. 2.3; 123 II 595 E. 7c S. 617; TPF 2008 24 E. 1.1 S. 26). Auf Beschwerdeverfahren in in- ternationalen Rechtshilfeangelegenheiten sind zudem die Bestimmungen des Bundesgesetzes vom 20. Dezember 1968 über das Verwaltungsver- fahren (Verwaltungsverfahrensgesetz, VwVG; SR 172.021) anwendbar (Art. 39 Abs. 2 lit. b i.V.m. Art. 37 Abs. 2 lit. a StBOG), wenn das IRSG nichts anderes bestimmt (siehe Art. 12 Abs. 1 IRSG).</w:t>
      </w:r>
    </w:p>
    <w:p>
      <w:r>
        <w:rPr>
          <w:b/>
        </w:rPr>
        <w:t>E. 2.1</w:t>
      </w:r>
    </w:p>
    <w:p>
      <w:r>
        <w:t>Gegen Auslieferungsentscheide des BJ kann innerhalb von 30 Tagen nach Eröffnung des Entscheids bei der Beschwerdekammer des Bundesstrafge- richts Beschwerde geführt werden (Art. 55 Abs. 3 i.V.m. Art. 25 Abs. 1 IRSG; Art. 50 Abs. 1 VwVG). Die Frist beginnt an dem auf ihre Mitteilung folgenden Tage zu laufen (Art. 20 Abs. 1 VwVG) und ist eingehalten, wenn die schriftliche Eingabe spätestens am letzten Tage der Frist der Behörde eingereicht oder zu deren Handen der schweizerischen Post oder einer schweizerischen diplomatischen oder konsularischen Vertretung überge- ben wird (Art. 21 Abs. 1 VwVG). Diesbezüglich zu beachten ist, dass die Einreichung einer Beschwerde mittels Telefax der Schriftform nicht genügt und dieser mithin keine fristwahrende Wirkung zukommt (BGE 121 II 252 E. 4b S. 256; Entscheide des Bundesstrafgerichts RR.2010.222 vom 18. Januar 2011; RR.2010.103 vom 14. Juli 2010; BV.2007.15 vom 11. Ja- nuar 2008). Im Falle eines normalen Versandes der Eingabe durch Einwurf in den Postbriefkasten trägt der Absender die Beweislast für die Fristwah- rung (Entscheid des Bundesstrafgerichts RR.2012.107 vom 20. Novem- ber 2012, E. 3 m.w.H.).</w:t>
      </w:r>
    </w:p>
    <w:p>
      <w:r>
        <w:rPr>
          <w:b/>
        </w:rPr>
        <w:t>E. 2.2</w:t>
      </w:r>
    </w:p>
    <w:p>
      <w:r>
        <w:t>Der angefochtene Entscheid wurde dem Vertreter des Beschwerdeführers am 3. April 2013 eröffnet (vgl. act. 6.17). Die gesetzliche Beschwerdefrist von 30 Tagen endete somit am Freitag, 3. Mai 2013, um Mitternacht. Die vom Beschwerdeführer beiläufig erwähnten Bestimmungen über die Ge- richtsferien finden im Bereich der internationalen Rechtshilfe in Strafsachen keine Anwendung (Art. 12 Abs. 2 IRSG). Die beiden eingereichten Be- schwerdeschriften datieren beide vom 3. Mai 2013. Im hierzu verfassten</w:t>
      </w:r>
    </w:p>
    <w:p>
      <w:r>
        <w:t>- 5 -</w:t>
      </w:r>
    </w:p>
    <w:p>
      <w:r>
        <w:t>ebenfalls vom 3. Mai 2013 datierenden Begleitschreiben führt der Be- schwerdeführer aus, dass die Poststellen zum Zeitpunkt des Verfassens des Begleitschreibens – kurz vor 23 Uhr – bereits geschlossen seien. Der Einwurf der Beschwerde in einen Postbriefkasten in der Nähe einer Uhr werde daher mittels Mobiltelefon gefilmt und die Videosequenz anschlies- send auf einem elektronischen Datenträger eingereicht. Um die Fristwah- rung noch durch ein weiteres – wenn auch überflüssiges – Indiz zu bele- gen, werde die Beschwerde mitsamt Begleitschreiben zudem noch per Te- lefax übermittelt (vgl. Begleitschreiben zu act. 1 und 4).</w:t>
      </w:r>
    </w:p>
    <w:p>
      <w:r>
        <w:t>Tatsächlich wurden der Beschwerdekammer die Beschwerde und das er- wähnte Begleitschreiben per Telefax übermittelt, wobei als Zeitpunkt der Übermittlung der 3. Mai 2013, 23:16 Uhr, erscheint (act. 1.1). Was die Übermittlung der Beschwerde per Telefax anbetrifft, so hat diese jedoch nach dem oben Ausgeführten keine fristwahrende Wirkung. Beide Um- schläge, mit welchen die Beschwerde der Beschwerdekammer zugestellt wurde, sind weiter zwar am 3. Mai 2013 frankiert, von der Post aber erst am 4. Mai 2013 abgestempelt worden. Der Track and Trace Auszug der Post bezeichnet als Aufgabezeitpunkt der Eingabe per Paketpost den</w:t>
      </w:r>
    </w:p>
    <w:p>
      <w:r>
        <w:rPr>
          <w:b/>
        </w:rPr>
        <w:t>E. 2.3</w:t>
      </w:r>
    </w:p>
    <w:p>
      <w:r>
        <w:t>Nach dem Gesagten ergibt sich anhand der vorliegenden Unterlagen der</w:t>
      </w:r>
    </w:p>
    <w:p>
      <w:r>
        <w:rPr>
          <w:b/>
        </w:rPr>
        <w:t>E. 4</w:t>
      </w:r>
    </w:p>
    <w:p>
      <w:r>
        <w:t>Mai 2013 als Datum der schriftlichen Beschwerdeeinreichung. Der Be- schwerdeführer ist seiner Beweispflicht nicht nachgekommen, die Vermu- tung, wonach der Poststempel mit dem tatsächlichen Einwurf überein- stimmt, allenfalls umzustossen. Auf die Beschwerde ist daher infolge ver- späteter Beschwerdeerhebung nicht einzutreten.</w:t>
      </w:r>
    </w:p>
    <w:p>
      <w:r>
        <w:t>3.</w:t>
      </w:r>
    </w:p>
    <w:p>
      <w:r>
        <w:t>3.1 Selbst wenn auf die Beschwerde einzutreten wäre, müsste sie abgewiesen werden, nachdem das einzige Vorbringen des Beschwerdeführers, die Aus- lieferung sei gestützt auf Art. 3 EMRK zu verweigern, sich als unbegründet erweist.</w:t>
      </w:r>
    </w:p>
    <w:p>
      <w:r>
        <w:t>- 6 -</w:t>
      </w:r>
    </w:p>
    <w:p>
      <w:r>
        <w:t>3.2 Die Schweiz prüft die Auslieferungsvoraussetzungen des EAUe auch im Lichte ihrer grundrechtlichen völkerrechtlichen Verpflichtungen. Nach inter- nationalem Völkerrecht – wie auch nach schweizerischem Landesrecht – sind Folter und jede andere Art grausamer, unmenschlicher oder erniedri- gender Behandlung oder Bestrafung verboten (Art. 3 EMRK; Art. 7 und 10 Abs. 1 des Internationalen Pakts vom 16. Dezember 1966 über bürgerliche und politische Rechte [UNO-Pakt II; SR 0.103.2]; Art. 10 Abs. 3 BV). Nie- mand darf in einen Staat ausgeliefert werden, in dem ihm Folter oder eine andere Art grausamer und unmenschlicher Behandlung oder Bestrafung droht (Art. 25 Abs. 3 BV).</w:t>
      </w:r>
    </w:p>
    <w:p>
      <w:r>
        <w:t>Besteht die Gefahr, dass der Verfolgte im ersuchenden Staat einer gegen Art. 3 EMRK verstossenden unmenschlichen oder erniedrigenden Behand- lung ausgesetzt sein könnte, wird die Auslieferung in Anwendung von Art. 80p IRSG von der Abgabe einer förmlichen Garantieerklärung bezüg- lich der Einhaltung der Grund- und Menschenrechte abhängig gemacht (BGE 134 IV 156 E. 6.3; 133 IV 76 E. 4.1 und 4.5).</w:t>
      </w:r>
    </w:p>
    <w:p>
      <w:r>
        <w:t>3.3 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Eine gänzliche Verweigerung der Auslieferung rechtfertigt sich nur ausnahmsweise, wenn das Risiko ei- ner menschenrechtswidrigen Behandlung auch mit diplomatischen Zusi- cherungen nicht auf ein Mass herabgesetzt werden kann, dass es als nur noch theoretisch erscheint (BGE 135 I 191 E. 2.3; 134 IV 156 E. 6.7; TPF 2010 56 E. 6.3.2 S. 63).</w:t>
      </w:r>
    </w:p>
    <w:p>
      <w:r>
        <w:t>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allem – ist zu prüfen, ob der Verfolgte selber aufgrund der konkreten Um- stände seines Falles der Gefahr einer menschenrechtswidrigen Behand-</w:t>
      </w:r>
    </w:p>
    <w:p>
      <w:r>
        <w:t>- 7 -</w:t>
      </w:r>
    </w:p>
    <w:p>
      <w:r>
        <w:t>lung ausgesetzt wäre. Dabei spielt insbesondere eine Rolle, ob er gegebe- nenfalls zu einer Personengruppe gehört, die im ersuchenden Staat in be- sonderem Masse gefährdet ist (BGE 139 II 65 E. 5.4 S. 74; 134 IV 156 E. 6.8; TPF 2010 56 E. 6.3.2 S. 64).</w:t>
      </w:r>
    </w:p>
    <w:p>
      <w:r>
        <w:t>3.4 Bereits im Rahmen des Beschwerdeverfahrens RR.2009.76 hatte das Bundesstrafgericht die Gelegenheit, sich einlässlich mit der Frage ausei- nanderzusetzen, ob im Falle der Auslieferung eines Verurteilten an Polen zum Zwecke der Vollstreckung einer Freiheitsstrafe ein ernsthaftes und ob- jektives Risiko einer schweren Verletzung der Menschenrechte im Sinne von Art. 3 EMRK bestehe. Es kam dabei zum Schluss, dass die zu beurtei- lende Auslieferung an Polen weder gegen Art. 3 noch gegen Art. 8 EMRK verstosse und die im Rahmen des Beschwerdeverfahrens geäusserten Be- denken hinsichtlich Überbelegung der Gefängnisse und der medizinischen Versorgung in Strafvollzugsanstalten einer Auslieferung nicht entgegen stehen würden, weshalb die Einholung einer förmlichen Garantie nicht er- forderlich sei (siehe zum Ganzen den Entscheid des Bundesstrafgerichts RR.2009.76 vom 9. Juli 2009, E. 8).</w:t>
      </w:r>
    </w:p>
    <w:p>
      <w:r>
        <w:t>3.5 Die vom Beschwerdeführer nun vorgebrachten Einreden und Einwendun- gen sowie die seither ergangenen Berichte von Menschenrechtsorganisati- onen und die einschlägigen Urteile des Europäischen Gerichtshofes für Menschenrechte (nachfolgend "EGMR") lassen nicht erkennen, inwiefern sich diesbezüglich eine andere Einschätzung der Menschenrechtslage in Polen aufdrängen würde. Zwar ist auch dem neusten publizierten Bericht des European Committee for the Prevention of Torture and Inhuman or Degrading Treatment or Punishment (nachfolgend "CPT") vom 12. Ju- li 2011 zu entnehmen, dass anlässlich des Besuchs des CPT in Polen zwi- schen dem 26. November und dem 8. Dezember 2009 in allen besuchten Strafvollzugsanstalten (zumindest teilweise) immer noch eine Überbele- gung festzustellen sei (act. 4.9, S. 34). Im selben Bericht werden aber auch die Bemühungen der polnischen Behörden erwähnt, die Auslastung der Gefängnisse weiter zu reduzieren, um vor dem 6. Dezember 2009 jedem Inhaftierten das gesetzliche Minimum von 3 m2 Fläche garantieren zu kön- nen (act. 4.9, S. 34). Zudem zeigte sich die Gesamtsituation betreffend Be- legung der Strafvollzugsanstalten in Polen seit den Erhebungen des CPT im Jahr 2004 erheblich verbessert (vgl. den Bericht des CPT vom 2. März 2006, S. 29 [http://www.cpt.coe.int/documents/pol/2006-11-inf-eng.pdf], und act. 4.9, S. 34; vgl. hierzu auch das Urteil des EGMR i.S. Orchowski gegen Polen vom 22. Oktober 2009, Nr. 17885/04, Ziff. 89).</w:t>
      </w:r>
    </w:p>
    <w:p>
      <w:r>
        <w:t>- 8 -</w:t>
      </w:r>
    </w:p>
    <w:p>
      <w:r>
        <w:t>Die vom Beschwerdeführer gegen seine Auslieferung ins Feld geführten Bedenken betreffend physischer Misshandlung durch Angestellte der Straf- vollzugsanstalten erweisen sich als weitestgehend unbegründet. Diesbe- züglich hält der aktuellste Bericht der CPT sogar ausdrücklich fest, dass in den Gefängnissen Racibórz und Rawicz von Seiten der Inhaftierten nicht eine einzige entsprechende Beanstandung bzw. lediglich wenige isolierte Beschwerden betreffend die Behandlung im (Untersuchungs-)Gefängnis Poznan vorliegen würden (act. 4.9, S. 37).</w:t>
      </w:r>
    </w:p>
    <w:p>
      <w:r>
        <w:t>3.6 Die vom Beschwerdeführer zitierten kritischen Aussagen im Bericht des CPT (act. 1, S. 5) betreffen die Situation in polnischen Ausschaffungsge- fängnissen und sind für die vorliegende Auslieferung nicht von Relevanz. Ebenso wenig einschlägig für die Beurteilung der aktuellen Lage im polni- schen Strafvollzug sind die vom Beschwerdeführer verschiedentlich ange- führten Verurteilungen Polens wegen Verletzung des Art. 3 EMRK durch den EGMR (siehe act. 1, S. 6; act. 14, S. 2 f.). Sofern diese überhaupt den Bereich des Strafvollzugs betreffen, liegen die gerügten Sachverhalte teil- weise schon mehrere Jahre zurück.</w:t>
      </w:r>
    </w:p>
    <w:p>
      <w:r>
        <w:t>3.7 Dem Beschwerdeführer ist es insgesamt nicht gelungen, glaubhaft zu ma- chen, dass er in einem polnischen Gefängnis konkret der Gefahr ausge- setzt wäre, in einer gegen Art. 3 EMRK verstossenden Weise behandelt zu werden. Dasselbe gilt auch für seine Befürchtung, auf Grund seiner russi- schen und seiner deutschen Staatsangehörigkeiten seitens von Mitgefan- genen Aggressionen zu erleiden. Dass der Beschwerdeführer seinen eige- nen Angaben zufolge von privaten Personen bedroht worden sei, stellt kein Auslieferungshindernis dar. Polen ist wie jeder andere Staat verpflichtet, für die Sicherheit des Beschwerdeführers während der Strafverbüssung zu sorgen. Danach steht es dem Beschwerdeführer frei, dieses Land wieder zu verlassen.</w:t>
      </w:r>
    </w:p>
    <w:p>
      <w:r>
        <w:rPr>
          <w:b/>
        </w:rPr>
        <w:t>E. 4.1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w:t>
      </w:r>
    </w:p>
    <w:p>
      <w:r>
        <w:t>- 9 -</w:t>
      </w:r>
    </w:p>
    <w:p>
      <w:r>
        <w:t>nig geringer sind als diese (BGE 138 III 217 E. 2.2.4; 134 I 92 E. 3.2.1; 129 I 129 E. 2.3.1).</w:t>
      </w:r>
    </w:p>
    <w:p>
      <w:r>
        <w:rPr>
          <w:b/>
        </w:rPr>
        <w:t>E. 4.2</w:t>
      </w:r>
    </w:p>
    <w:p>
      <w:r>
        <w:t>Anhand des oben Ausgeführten erweist sich die Beschwerde offensichtlich als aussichtslos im Sinne von Art. 65 Abs. 1 VwVG. Demzufolge ist das Gesuch des Beschwerdeführers um unentgeltliche Rechtspflege und Ver- beiständung abzuweisen.</w:t>
      </w:r>
    </w:p>
    <w:p>
      <w:r>
        <w:rPr>
          <w:b/>
        </w:rPr>
        <w:t>E. 5</w:t>
      </w:r>
    </w:p>
    <w:p>
      <w:r>
        <w:t>Bei diesem Ausgang des Verfahrens sind die Gerichtskosten dem Be- schwerdeführer aufzuerlegen (Art. 63 Abs. 1 VwVG). Die Gerichtsgebühr ist auch angesichts der mutmasslich bescheidenen wirtschaftlichen Ver- hältnisse des Beschwerdeführers auf Fr. 1'000.-- zu reduzieren (Art. 63 Abs. 5 VwVG i.V.m. Art. 73 StBOG sowie Art. 5 und 8 Abs. 3 lit. a des Reg- 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