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RR.2013.12 vom 2. April 2013</w:t>
      </w:r>
    </w:p>
    <w:p>
      <w:r>
        <w:t>Bundesstrafgericht, 2013-04-02, DE</w:t>
      </w:r>
    </w:p>
    <w:p>
      <w:r>
        <w:rPr>
          <w:b/>
        </w:rPr>
        <w:t xml:space="preserve">Quelle: </w:t>
      </w:r>
      <w:r>
        <w:t>https://mcp.opencaselaw.ch/entscheid/bstger_RR.2013.12</w:t>
      </w:r>
    </w:p>
    <w:p>
      <w:r>
        <w:t>FR: TPF RR.2013.12 du 2 avril 2013</w:t>
      </w:r>
    </w:p>
    <w:p>
      <w:r>
        <w:t>IT: TPF RR.2013.12 del 2 aprile 2013</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 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 den Bestimmungen aufgrund bilateraler Abkommen unberührt bleiben (Art. 59 Abs. 2 SDÜ).</w:t>
      </w:r>
    </w:p>
    <w:p>
      <w:r>
        <w:t>- 4 -</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w:t>
      </w:r>
    </w:p>
    <w:p>
      <w:r>
        <w:rPr>
          <w:b/>
        </w:rPr>
        <w:t>E. 2.1</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2.2</w:t>
      </w:r>
    </w:p>
    <w:p>
      <w:r>
        <w:t>Der angefochtene Entscheid wurde dem Vertreter des Beschwerdeführers am 13. Dezember 2012 eröffnet (act. 8.16). Die Beschwerde vom 11. Ja- nuar 2012 erweist sich somit als fristgerecht. Die übrigen Eintretensvoraus- setzungen geben keinen Anlass zu weiteren Bemerkungen. Auf die Be- schwerde ist demnach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RR.2012.229 vom 23. Oktober 2012, E. 3; RR.2012.40 vom 23. August 2012, E. 5).</w:t>
      </w:r>
    </w:p>
    <w:p>
      <w:r>
        <w:rPr>
          <w:b/>
        </w:rPr>
        <w:t>E. 4.1</w:t>
      </w:r>
    </w:p>
    <w:p>
      <w:r>
        <w:t>Der Beschwerdeführer rügt die mangelhafte Sachverhaltsschilderung im Rechtshilfeersuchen sowie das Fehlen des Rechtshilfeerfordernisses der beidseitigen Strafbarkeit (act. 1).</w:t>
      </w:r>
    </w:p>
    <w:p>
      <w:r>
        <w:t>- 5 -</w:t>
      </w:r>
    </w:p>
    <w:p>
      <w:r>
        <w:rPr>
          <w:b/>
        </w:rPr>
        <w:t>E. 4.2</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Unter dem Gesichtspunkt des hier massge- benden EAUe reicht es grundsätzlich aus, wenn die Angaben im Rechtshil- feersuchen sowie in dessen Ergänzungen und Beilagen es den schweizeri- schen Behörden ermöglichen zu prüfen, ob ausreichende Anhaltspunkte für auslieferungsfähige Straftaten vorliegen, ob Verweigerungsgründe gege- ben sind bzw. für welche mutmasslichen Delikte dem Begehren allenfalls zu entsprechen ist. Der Rechtshilferichter muss namentlich prüfen können, ob die Voraussetzung der beidseitigen Strafbarkeit erfüllt ist. Es kann hin- gegen nicht verlangt werden, dass die Behörden des ersuchenden Staates den Sachverhalt, der Gegenstand ihrer Strafuntersuchung bildet, lückenlos und völlig widerspruchsfrei darstellen und die Tatvorwürfe bereits ab- schliessend mit Beweisen belegen. Das wäre mit dem Sinn und Zweck des Auslieferungsverfahrens unvereinbar. Die ersuchte schweizerische Behör- 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 mehr an die Darstellung des Sachverhalts im Ersuchen gebunden, soweit diese nicht durch offensichtliche Fehler, Lücken oder Widersprüche sofort entkräftet wird (vgl. BGE 133 IV 76 E. 2.2 S. 79; 132 II 81 E. 2.1 S. 83 f.; Urteile des Bundesgerichts 1C_205/2007 vom 18. Dezember 2007, E. 3.2; 1A.297/2005 vom 13. Januar 2006, E. 2.3 und 3.5, je m.w.H.).</w:t>
      </w:r>
    </w:p>
    <w:p>
      <w:r>
        <w:rPr>
          <w:b/>
        </w:rPr>
        <w:t>E. 4.3</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Satz 1 EAUe). Ist im Hoheitsge- biet des ersuchenden Staates eine Verurteilung zu einer Strafe erfolgt oder eine sichernde Massnahme angeordnet worden, so muss deren Mass min- destens vier Monate betragen (Art. 2 Ziff. 1 Satz 2 EAUe).</w:t>
      </w:r>
    </w:p>
    <w:p>
      <w:r>
        <w:rPr>
          <w:b/>
        </w:rPr>
        <w:t>E. 4.4</w:t>
      </w:r>
    </w:p>
    <w:p>
      <w:r>
        <w:t>Für die Frage der beidseitigen Strafbarkeit nach schweizerischem Recht ist der im Ersuchen dargelegte Sachverhalt so zu subsumieren, wie wenn die Schweiz wegen des analogen Sachverhalts ein Strafverfahren eingeleitet</w:t>
      </w:r>
    </w:p>
    <w:p>
      <w:r>
        <w:t>- 6 -</w:t>
      </w:r>
    </w:p>
    <w:p>
      <w:r>
        <w:t>hätte (BGE 132 II 81 E. 2.7.2 S. 90). Der Rechtshilferichter prüft daher bloss "prima facie", ob der im Ausland verübte inkriminierte Sachverhalt, sofern er – analog – in der Schweiz begangen worden wäre, die Tatbe- standsmerkmale einer schweizerischen Strafnorm erfüllen würde (Ent- 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Gültig- keitserfordernis dar und ist vom Auslieferungsrichter daher nicht zu über- prüfen, wenn feststeht, dass der in den Auslieferungsunterlagen umschrie- bene Sachverhalt den Tatbestand eines Auslieferungsdeliktes erfüllt (vgl. BGE 101 Ia 405 E. 4 S. 410 m.w.H.; ZIMMERMANN, a.a.O., S. 536 N. 583). Anders als im Bereich der "akzessorischen" Rechtshilfe ist die Vorausset- zung der beidseitigen Strafbarkeit im Auslieferungsrecht für jeden Sachver- halt, für den die Schweiz die Auslieferung gewähren soll, gesondert zu prü- fen (BGE 125 II 569 E. 6 S. 575; Entscheid des Bundesstrafgerichts RR.2007.55 vom 5. Juli 2007, E. 6.2).</w:t>
      </w:r>
    </w:p>
    <w:p>
      <w:r>
        <w:t>Nachfolgend ist somit zu prüfen, ob der von der ersuchenden Behörde dar- gelegte Sachverhalt unter eine Strafbestimmung des schweizerischen Rechts subsumiert werden kann.</w:t>
      </w:r>
    </w:p>
    <w:p>
      <w:r>
        <w:rPr>
          <w:b/>
        </w:rPr>
        <w:t>E. 4.5</w:t>
      </w:r>
    </w:p>
    <w:p>
      <w:r>
        <w:t>Wie die nachstehende Wiedergabe des Sachverhaltsvorwurfs zeigen wird, sind der Sachverhaltsdarstellung der ersuchenden Behörde keine offen- sichtlichen Fehler, Lücken oder Widersprüche zu entnehmen, welche die Sachverhaltsvorwürfe sofort entkräften würden. Aus diesem Grund ist diese Sachverhaltsdarstellung für den Rechtshilferichter bindend und den nach- folgenden Erwägungen zu Grunde zu legen.</w:t>
      </w:r>
    </w:p>
    <w:p>
      <w:r>
        <w:t>Dem internationalem Haftbefehl vom 16. April 2010 des Amtsgerichts Stuttgart, präzisiert mit Schreiben vom 15. November 2012 des Justizminis- teriums Baden-Württemberg, liegt folgender Sachverhalt zugrunde:</w:t>
      </w:r>
    </w:p>
    <w:p>
      <w:r>
        <w:t>Der Beschwerdeführer sei Geschäftsführer der B. GmbH in Y., bzw. später X. gewesen. Obgleich er gewusst habe, dass er zur Abgabe von Umsatz- steuervoranmeldungen verpflichtet war, habe er es bewusst und pflichtwid- rig unterlassen, die Umsatzsteuervoranmeldungen für das III. und IV. Quar- tal 2008 beim zuständigen Finanzamt einzureichen. Dadurch habe er dem Finanzamt Umsatzsteuer in der Höhe von EUR 3'959'667.22 verschwiegen mit der Folge, dass ihm dieser Geldbetrag – über die B. GmbH in den Mo- naten Juli bis Dezember 2008 zur Verfügung gestanden hätte. Durch sein</w:t>
      </w:r>
    </w:p>
    <w:p>
      <w:r>
        <w:t>- 7 -</w:t>
      </w:r>
    </w:p>
    <w:p>
      <w:r>
        <w:t>Verhalten habe er sich der zweifachen Umsatzsteuerhinterziehung schuldig gemacht. Der eigentliche Gewinn der B. GmbH habe nicht im Vertrieb von Mobilfunkgeräten, sondern im Abschöpfen der Umsatzsteuer gelegen.</w:t>
      </w:r>
    </w:p>
    <w:p>
      <w:r>
        <w:t>Die B. GmbH habe im Zeitraum vom 4. Juli bis 28. November 2008 allein der C. GmbH für Lieferungen von Mobiltelefonen EUR 14'762'076.-- in Rechnung gestellt. Insgesamt seien Rechnungen in der Höhe von EUR 20'840'353.81 gestellt worden. Nach den vorliegenden Erkenntnissen habe die B. GmbH im III. und IV. Quartal 2008 Handys im Bruttowert von EUR 5'439'215'61 bezogen.</w:t>
      </w:r>
    </w:p>
    <w:p>
      <w:r>
        <w:rPr>
          <w:b/>
        </w:rPr>
        <w:t>E. 4.6</w:t>
      </w:r>
    </w:p>
    <w:p>
      <w:r>
        <w:t>Der Beschwerdegegner hat das dem Beschwerdeführer in den Ausliefe- rungsunterlagen vorgeworfene Verhalten unter den Tatbestand von Art. 96 Abs. 1 lit. a i.V.m. Art. 97 Abs. 2 lit. b des Bundesgesetzes über die Mehr- wertsteuer vom 12. Juni 2009 (Mehrwertsteuergesetz, MWSTG; SR 641.20) subsumiert. Gemäss Art. 96 Abs. 1 MWSTG wird mit Busse bis zu CHF 400'000.-- unter anderem bestraft, wer vorsätzlich oder fahrlässig die Steuerforderung zulasten des Staates verkürzt, indem er in einer Steuerpe- riode nicht sämtliche Einnahmen (...) deklariert (lit. a). Die Busse beträgt bis zu CHF 800'000.--, wenn diese hinterzogene Steuer in einer Form über- wälzt wird, die zum Vorsteuerabzug berechtigt (Art. 96 Abs. 2 MWSTG). Der Versuch ist strafbar (Art. 96 Abs. 5 MWSTG). Wird der Steuervorteil aufgrund einer fehlerhaften Abrechnung erzielt, so ist die Steuerhinterzie- hung erst strafbar, wenn die Frist zur Korrektur von Mängeln in der Abrech- nung (Art. 72 Abs. 1) abgelaufen ist und der Fehler nicht korrigiert wurde (Art. 96 Abs. 6 MWSTG). Die qualifizierte Mehrwertsteuerhinterziehung ist in Art. 97 Abs. 2 MWSTG geregelt. Art. 97 Abs. 2 MWSTG erlaubt die Er- höhung des Höchstmasses der angedrohten Busse um die Hälfte sowie zusätzlich das Erkennen auf eine Freiheitsstrafe von bis zu zwei Jahren, sofern erschwerende Umstände vorliegen, worunter unter anderem das gewerbsmässige Verüben von Widerhandlungen gegen das Mehrwertsteu- errecht fällt (lit. b). Gemäss Rechtsprechung (BGE 129 IV 253) handelt der Täter oder die Täterin gewerbsmässig, wenn sich aus der Zeit und den Mit- teln, die er oder sie für die deliktische Tätigkeit aufwendet, aus der Häufig- keit der Einzelakte innerhalb eines bestimmten Zeitraums sowie aus den angestrebten und erzielten Einkünften ergibt, dass er oder sie die delikti- sche Tätigkeit wie einen Beruf, wenn auch als Nebenberuf, ausübt. We- sentlich ist ausserdem, dass der Täter oder die Täterin sich darauf einrich- tet, durch sein oder ihr deliktisches Handeln relativ regelmässige Einnah- men zu erzielen, die einen namhaften Beitrag an die Lebenshaltungskosten darstellen, und er oder sie sich somit gleichsam in der Kriminalität einge- richtet hat. Der Täter oder die Täterin muss die Tat bereits mehrfach und</w:t>
      </w:r>
    </w:p>
    <w:p>
      <w:r>
        <w:t>- 8 -</w:t>
      </w:r>
    </w:p>
    <w:p>
      <w:r>
        <w:t>mit der Absicht, Einnahmen zu erzielen, begangen haben. Zudem muss er oder sie bereit sein, diese Taten zu wiederholen (BGE 119 IV 129). Die er- schwerenden Umstände können nur im Rahmen einer vorsätzlichen Steu- erhinterziehung geahndet werden. Daher sind unbeabsichtigte wiederkeh- rende Abrechnungsfehler nicht Tatbestand der gewerbsmässigen Steuer- hinterziehung (vgl. zum Ganzen Botschaft zur Vereinfachung der Mehr- wertsteuer vom 25. Juni 2008, BBL 2008 6885, S. 7019 f.).</w:t>
      </w:r>
    </w:p>
    <w:p>
      <w:r>
        <w:t>Die qualifizierte Steuerhinterziehung im Sinne der vorgenannten Bestim- mungen des MWSTG stellt ein Delikt der indirekten Fiskalität dar, das u.a. mit Freiheitsstrafe von bis zu zwei Jahren bedroht wird. Gemäss Art. 63 i.V.m. Art. 50 Abs. 1 SDÜ besteht zwischen den Vertragsstaaten eine ge- genseitige Auslieferungspflicht für Delikte der indirekten Fiskalität, sofern die Voraussetzungen von Art. 2 EAUe erfüllt sind. Mit Blick auf die Rechts- hilfevoraussetzungen stellt die qualifizierte Steuerhinterziehung (Art. 96 Abs. 1 lit. a i.V.m. Art. 97 Abs. 2 lit. b MWSTG) - im Gegensatz zur einfa- chen - eine auslieferungsfähige Tat dar.</w:t>
      </w:r>
    </w:p>
    <w:p>
      <w:r>
        <w:rPr>
          <w:b/>
        </w:rPr>
        <w:t>E. 4.7</w:t>
      </w:r>
    </w:p>
    <w:p>
      <w:r>
        <w:t>Zunächst macht der Beschwerdeführer geltend, das Justizministerium Ba- den Württemberg hätte im Rechtshilfeersuchen nicht erwähnt, dass das Fi- nanzamt die von der GmbH geschuldete Steuer geschätzt habe und in der Folge die Zwangsvollstreckung eingeleitet habe (act. 1, Ziff. 29). Der Be- schwerdeführer deutet an, dass deswegen der Tatbestand der Steuerhin- terziehung nicht erfüllt sei. Er macht geltend, dass es sich bei der Steuer- hinterziehung um ein Erfolgsdelikt handle. Der tatbestandsmässige Erfolg würde in der Verkürzung der Steuerforderung zu Lasten des Staates be- stehen. Eine Verkürzung sei gegeben, wenn die festgesetzte Steuer tiefer sei, als die bei ordnungsgemässer Erfüllung der Deklarationspflichten ge- schuldete Steuer. Schätzt die Steuerverwaltung die Steuer nach pflichtge- mässen Ermessen mindestens so hoch, wie die Steuer bei ordnungsge- mässer Deklaration festgesetzt worden wäre, würde nach schweizerischem Verständnis keine Steuerverkürzung vorliegen (act. 1, Ziff. 28).</w:t>
      </w:r>
    </w:p>
    <w:p>
      <w:r>
        <w:t>Ob – wie der Beschwerdeführer behauptet – tatsächlich eine Schätzung durch das Finanzamt mit anschliessender Zwangsvollstreckung in Deutsch- land stattgefunden hat, ist aus den Auslieferungsunterlagen nicht ersicht- lich, jedoch auch – wie in der Folge dargelegt – für die Beurteilung der Strafbarkeit nach schweizerischem Recht irrelevant.</w:t>
      </w:r>
    </w:p>
    <w:p>
      <w:r>
        <w:t>Die Steuerhinterziehung im Sinne von Art. 96 Abs. 1 lit. a MWSTG ist ein Erfolgsdelikt und der tatbestandsmässige Erfolg besteht im Steuerausfall des Gemeinwesens bzw. der allgemeinen Verletzung des staatlichen Steu-</w:t>
      </w:r>
    </w:p>
    <w:p>
      <w:r>
        <w:t>- 9 -</w:t>
      </w:r>
    </w:p>
    <w:p>
      <w:r>
        <w:t>eranspruchs. Dieser Ausfall braucht allerdings nicht definitiv zu sein; ein vorläufiger Steuerausfall genügt bereits für die Vollendung des Tatbestan- des der Steuerhinterziehung (BEUSCH/MALLA, Steuerstrafrecht – ein Entwir- rungsversuch, ZStrR 130/2012 S. 249 ff., 272). Das bedeutet, dass selbst wenn das Gemeinwesen die hinterzogene Steuer nachträglich einzieht, der Tatbestand der Steuerhinterziehung vollendet sein kann. Aus den Ausliefe- rungsunterlagen geht hervor, dass dem Beschwerdeführer durch seine zweifache Umsatzsteuerhinterziehung EUR 3'959'667.22 in der Zeit von Juli bis Dezember 2008 zur Verfügung gestanden sind. Entsprechend lag beim Gemeinwesen ein vorübergehender Steuerausfall vor, weswegen sich das in den Auslieferungsunterlagen dem Beschwerdeführer vorgeworfene Verhalten nach schweizerischem Recht ohne Weiteres unter den Tatbe- stand von Art. 96 Abs. 1 lit. a MWSTG subsumieren lässt.</w:t>
      </w:r>
    </w:p>
    <w:p>
      <w:r>
        <w:t>Ferner verkennt der Beschwerdeführer, dass selbst wenn – wie von ihm angedeutet – der Tatbestand von Art. 96 Abs. 1 lit. a MWSTG nicht vollen- det wäre, dies einer allfälligen Auslieferung nicht entgegenstehen würde, da auch die versuchte qualifizierte Steuerhinterziehung ein auslieferungs- fähiges Delikt darstellt. Qualifizierte Mehrwertsteuerhinterziehung stellt ein Vergehen dar (Art. 96 Abs. 1 lit. a i.V.m. Art. 97 Abs. 2 lit. b MWSTG i.V.m. Art. 333 Abs. 1 i.V.m. 10 Abs. 3 StGB), entsprechend ist der Versuch straf- bar (Art. 22 Abs. 1 StGB). Versuchte qualifizierte Steuerhinterziehung wird ebenfalls mit Freiheitsstrafe von bis zu zwei Jahren bedroht und ist eine auslieferungsfähige strafbare Handlung im Sinne von Art. 2 Ziff. 1 EAUe. Folglich erweist sich diese Rüge des Beschwerdeführers als unbegründet.</w:t>
      </w:r>
    </w:p>
    <w:p>
      <w:r>
        <w:rPr>
          <w:b/>
        </w:rPr>
        <w:t>E. 4.8</w:t>
      </w:r>
    </w:p>
    <w:p>
      <w:r>
        <w:t>Weiter rügt der Beschwerdeführer, dass das ihm in den Auslieferungsunter- lagen vorgeworfenen Verhalten nicht als "gewerbsmässig" im Sinne von Art. 97 Abs. 2 lit. b MWSTG eingestuft werden könne. Zunächst bringt er gegen das Vorliegen von gewerbsmässiger Steuerhinterziehung vor, dass diese gemäss Rechtsprechung die Wiederholung der Tat voraussetzen würde (act. 1, Ziff. 37). Er führt sinngemäss aus, dass ihm in Deutschland zweifache Steuerhinterziehung vorgeworfen werde. Hätte sich jedoch der im Ersuchen dargelegte Sachverhalt in der Schweiz ereignet, würde er nur eine Steuerhinterziehung darstellen. Da lediglich eine Steuerperiode betrof- fen gewesen wäre, nämlich das Kalenderjahr 2008, hätte er höchstens eine Tat begehen können (act. 1, Ziff. 41).</w:t>
      </w:r>
    </w:p>
    <w:p>
      <w:r>
        <w:t>Die Mehrwertsteuer wird in der Schweiz – wie in Deutschland – im Selbst- veranlagungsverfahren erhoben. Sie wird je Steuerperiode erhoben, wobei als Steuerperiode das Kalenderjahr gilt (Art. 34 Abs. 1 und 2 MWSTG). In- nerhalb der Steuerperiode erfolgt die Abrechnung der Steuer in der Regel</w:t>
      </w:r>
    </w:p>
    <w:p>
      <w:r>
        <w:t>- 10 -</w:t>
      </w:r>
    </w:p>
    <w:p>
      <w:r>
        <w:t>vierteljährlich (Art. 35 Abs. 1 lit. a MWSTG). Das bedeutet, dass alle drei Monate die steuerpflichtige Person ihre MWST-Abrechnungen einreicht und die entsprechenden Steuerforderungen bezahlt.</w:t>
      </w:r>
    </w:p>
    <w:p>
      <w:r>
        <w:t>Der objektive Tatbestand von Art. 96 Abs. 1 lit. a. MWSTG ist – unter Vor- behalt von 96 Abs. 6 MWSTG – erfüllt, wenn die im Rahmen der Abrech- nungsperiode deklarierungspflichtigen Steuern in Missachtung der Selbst- veranlagungspflicht nicht angemeldet oder deklariert worden sind (Urteil des Aargauischen Obergerichts vom 17. Februar 1977 E. 4). Abs. 6 von Art. 96 MWSTG ist eine objektive Strafbarkeitsbedingung der Hinterziehung von Mehrwertsteuern. Da objektive Strafbarkeitsbedingungen bei der Beur- teilung der Strafbarkeit nach schweizerischem Recht nicht berücksichtigt werden (Art. 35 Abs. 2 lit. a IRSG), ist nicht weiter auf diese Bestimmung einzugehen.</w:t>
      </w:r>
    </w:p>
    <w:p>
      <w:r>
        <w:t>Dem Beschwerdeführer ist zunächst entgegenzuhalten, dass während ei- ner Steuerperiode bzw. eines Kalenderjahres der Tatbestand der Mehr- wertsteuerhinterziehung mehrfach erfüllt werden kann, nämlich während jeder Abrechnungsperiode. Jede Abrechnungsperiode begründet eine Selbstveranlagungspflicht. Wird diese verletzt, ist der Tatbestand der Steu- erhinterziehung erfüllt. Jedoch ist dies insofern irrelevant, als im vorliegen- den Fall bei der Beurteilung der beidseitigen Strafbarkeit nationale Unter- schiede betreffend Zeitpunkt, Periodizität etc. im Veranlagungsverfahren unbeachtlich sind (vgl. Entscheid des Bundesstrafgerichts RR.2010.69-75 vom 9. März 2011, E. 5.10). Ausschlaggebend ist, dass der Beschwerde- führer zweimal seiner Verpflichtung der Selbstveranlagung in Deutschland nicht nachgekommen ist. Hätte er in der Schweiz die deklarierungspflichti- gen Steuern in Missachtung der Selbstveranlagungspflicht während zwei verschiedenen Perioden nicht angemeldet, so hätte er auch in der Schweiz zweimal den Tatbestand von Art. 96 Abs. 1 lit. a. MWSTG erfüllt.</w:t>
      </w:r>
    </w:p>
    <w:p>
      <w:r>
        <w:t>Wie viele Straftaten erforderlich sind, damit Gewerbsmässigkeit vorliegt, lässt sich nicht genau beziffern. Man wird viel mehr berücksichtigen müs- sen in welchem Zeitraum und in welchem Deliktsbetrag diese verübt wur- den (NIGGLI/RIEDO, Basler Kommentar, 2. Aufl., Basel 2007, Art. 139 StGB N. 91). Dem Beschwerdeführer wird "lediglich" zweifache Tatbegehung vorgeworfen, was bezüglich der Quantität der verübten Delikte das absolu- te Minimum darstellt. Da jedoch der Deliktsbetrag ausserordentlich hoch ist, nämlich EUR 3'959'667.22, und der Zeitraum für zweifache Tatbegehung der kürzest mögliche ist, ist Gewerbsmässigkeit zu bejahen. Dies ist mit Bezug auf die gewerbsmäßige Begehung der Mehrwertsteuerhinterziehung nach Art. 96 Abs. 1 lit. a i.V.m. Art. 97 Abs. 2 lit. b MWSTG umso mehr an-</w:t>
      </w:r>
    </w:p>
    <w:p>
      <w:r>
        <w:t>- 11 -</w:t>
      </w:r>
    </w:p>
    <w:p>
      <w:r>
        <w:t>zunehmen, als die Strafandrohung zwischen 1 Tagessatz Geldstrafe und maximal zwei Jahren Freiheitsstrafe sowie Busse beträgt. Damit ist sie um ein vielfaches tiefer angesetzt als beim gewerbsmässigen Diebstahl. Nach bundesgerichtlicher Rechtsprechung hat der Richter bei der Frage, ob im konkreten Fall Gewerbsmässigkeit anzunehmen ist, stets auch die Höhe der angedrohten Höchststrafe zu berücksichtigen (BGE 119 IV 129, S. 133).</w:t>
      </w:r>
    </w:p>
    <w:p>
      <w:r>
        <w:rPr>
          <w:b/>
        </w:rPr>
        <w:t>E. 4.9</w:t>
      </w:r>
    </w:p>
    <w:p>
      <w:r>
        <w:t>In einem nächsten Punkt bringt der Beschwerdeführer vor, dass um unter die gewerbsmässige Tatbegehung zu fallen, die unrechtmässigen Einnah- men einen namhaften Beitrag an die Lebenshaltungskosten des Täters leisten müssen. Vorliegend würden keine Einnahmen vorliegen sondern Ersparnisse, welche sich nicht zugunsten des Beschwerdeführers sondern der GmbH ergeben hätten. Die Steuerverkürzung hätte somit keinen Bei- trag an die Lebenshaltungskosten des Beschwerdeführers leisten können (act. 1, Ziff. 43 und 46).</w:t>
      </w:r>
    </w:p>
    <w:p>
      <w:r>
        <w:t>Gemäss bundesgerichtlicher Rechtsprechung ist für das Vorhandensein der Gewerbsmässigkeit wesentlich, dass der Täter oder die Täterin sich da- rauf einrichtet, durch sein oder ihr deliktisches Handeln relativ regelmässi- ge Einnahmen zu erzielen, die einen namhaften Beitrag an die Lebenshal- tungskosten darstellen. Das in dieser Begriffsumschreibung enthaltene Element der auf Erlangung eines "Erwerbseinkommens" gerichteten Ab- sicht ist nicht dahin zu verstehen, dass gewerbsmässig nur handeln würde, wer unmittelbar Geldeinnahmen erzielt. Ein Erwerbseinkommen im Sinne der bundesgerichtlichen Praxis kann vielmehr im Erwirken irgendwelcher Vermögensvorteile bestehen. Dabei ist ohne Belang, ob der Täter sich die- se unmittelbar zur Fristung seines Lebens, zur Bezahlung von Vergnügen, zum Zweck gewinnbringender Anlage oder zur Hortung verschafft (BGE 110 IV 30 S. 31 E. 2). Durch das Unterlassen der Ablieferung der im weiterverrechneten Verkaufspreis bereits enthaltenen Steuern entstand ein Vermögensvorteil. Den Auslieferungsunterlagen ist zu entnehmen, dass dem Beschwerdeführer über die B. GmbH das besagte Geld zur Verfügung stand. Folglich erweist sich auch diese Rüge des Beschwerdeführers als unbegründet.</w:t>
      </w:r>
    </w:p>
    <w:p>
      <w:r>
        <w:rPr>
          <w:b/>
        </w:rPr>
        <w:t>E. 4.10</w:t>
      </w:r>
    </w:p>
    <w:p>
      <w:r>
        <w:t>Damit kann das dem Beschwerdeführer in den Auslieferungsunterlagen vorgeworfene Verhalten prima facie unter den Tatbestand der qualifizierten Steuerhinterziehung (Art. 96 Abs. 1 lit. a i.V.m. Art. 97 Abs. 2 lit. b MWSTG) subsumiert werden, womit die Voraussetzung der beidseitigen Strafbarkeit gemäss Art. 2 Ziff. 1 EAUe erfüllt ist. Die diesbezügliche Rüge erweist sich demnach als unbegründet.</w:t>
      </w:r>
    </w:p>
    <w:p>
      <w:r>
        <w:t>- 12 -</w:t>
      </w:r>
    </w:p>
    <w:p>
      <w:r>
        <w:rPr>
          <w:b/>
        </w:rPr>
        <w:t>E. 5</w:t>
      </w:r>
    </w:p>
    <w:p>
      <w:r>
        <w:t>Andere Auslieferungshindernisse werden weder geltend gemacht noch sind solche ersichtlich. Die Auslieferung des Beschwerdeführers an Deutsch- land für die dem Auslieferungsersuchen vom 16. Oktober 2012 des Justiz- ministeriums Baden-Württemberg zugrunde liegenden Straftaten ist zuläs- sig, weshalb die Beschwerde abzuweisen ist.</w:t>
      </w:r>
    </w:p>
    <w:p>
      <w:r>
        <w:rPr>
          <w:b/>
        </w:rPr>
        <w:t>E. 6</w:t>
      </w:r>
    </w:p>
    <w:p>
      <w:r>
        <w:t>Bei diesem Ausgang des Verfahrens hat der Beschwerdeführer die Ge- richtskosten selber zu tragen (Art. 63 Abs. 1 VwVG i.V.m. Art. 39 Abs. 2 lit. b StBOG). Für die Berechnung der Gerichtsgebühren gelangt das Reg- lement des Bundesstrafgerichts vom 31. August 2010 über die Kosten, Ge- bühren und Entschädigungen in Bundesstrafverfahren (BStKR; SR 173.713.162) i.V.m. Art. 63 Abs. 5 VwVG zur Anwendung. Unter Be- rücksichtigung aller Umstände ist die Gerichtsgebühr vorliegend auf Fr. 3'000.-- festzusetzen, unter Anrechnung des geleisteten Kostenvor- 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