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RR.2013.113 vom 17. Juli 2013</w:t>
      </w:r>
    </w:p>
    <w:p>
      <w:r>
        <w:t>Bundesstrafgericht, 2013-07-17, FR</w:t>
      </w:r>
    </w:p>
    <w:p>
      <w:r>
        <w:rPr>
          <w:b/>
        </w:rPr>
        <w:t xml:space="preserve">Quelle: </w:t>
      </w:r>
      <w:r>
        <w:t>https://mcp.opencaselaw.ch/entscheid/bstger_RR.2013.113</w:t>
      </w:r>
    </w:p>
    <w:p>
      <w:r>
        <w:t>FR: TPF RR.2013.113 du 17 juillet 2013</w:t>
      </w:r>
    </w:p>
    <w:p>
      <w:r>
        <w:t>IT: TPF RR.2013.113 del 17 luglio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 se est prioritairement régie par la Convention européenne d'entraide judi- 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 mande d'entraide présentée notamment pour la répression du blanchiment d'argent, entre également en considération la Convention relative au blan- chiment, au dépistage, à la saisie et à la confiscation des produits du crime (CBl; RS 0.311.53), entrée en vigueur le 11 septembre 1993 pour la Suisse et le 1er février 1997 pour la France. Les art. 48 ss de la Convention d'ap- plication de l'Accord de Schengen du 14 juin 1985 (CAAS; n° CELEX 42000A0922(02); Journal officiel de l'Union européenne L 239 du 22 sep- tembre 2000, p. 19-62) s'appliquent également à l'entraide pénale entre la Suisse et la France (v. arrêt du Tribunal pénal fédéral RR.2008.98 du 18 décembre 2008, consid. 1.3).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 troi de l'entraide à des conditions plus favorables (ATF 137 IV 33 consid. 2.2.2; 130 II 337 consid. 1; 124 II 180 consid. 1a). Le respect des droits fondamentaux est réservé (ATF 135 IV 212 consid. 2.3; 123 II 595 consid. 7c p. 617).</w:t>
      </w:r>
    </w:p>
    <w:p>
      <w:r>
        <w:rPr>
          <w:b/>
        </w:rPr>
        <w:t>E. 1.2</w:t>
      </w:r>
    </w:p>
    <w:p>
      <w:r>
        <w:t>En vertu de l'art. 37 al. 2 let. a de la loi fédérale sur l'organisation des auto- rités pénales de la Confédération (LOAP; RS 173.71) mis en relation avec les art. 25 al. 1 et 80e al. 2 EIMP et 19 al. 1 du règlement sur l'organisation</w:t>
      </w:r>
    </w:p>
    <w:p>
      <w:r>
        <w:t>- 6 -</w:t>
      </w:r>
    </w:p>
    <w:p>
      <w:r>
        <w:t>du Tribunal pénal fédéral (ROTPF; RS 173.713.161), la Cour des plaintes du Tribunal pénal fédéral est compétente pour connaître des recours diri- gés contre les décisions de clôture de la procédure d'entraide rendues par l'autorité d'exécution.</w:t>
      </w:r>
    </w:p>
    <w:p>
      <w:r>
        <w:rPr>
          <w:b/>
        </w:rPr>
        <w:t>E. 1.3</w:t>
      </w:r>
    </w:p>
    <w:p>
      <w:r>
        <w:t>Le délai de recours contre l'ordonnance de clôture est de 30 jours dès la communication écrite de celle-ci (art. 80k EIMP). Déposé à un bureau de poste suisse le 24 avril 2013, le recours contre l'ordonnance notifiée le 25 mars 2013, est intervenu en temps utile.</w:t>
      </w:r>
    </w:p>
    <w:p>
      <w:r>
        <w:rPr>
          <w:b/>
        </w:rPr>
        <w:t>E. 1.4</w:t>
      </w:r>
    </w:p>
    <w:p>
      <w:r>
        <w:t>Aux termes de l'art. 80h let. b EIMP, a qualité pour recourir en matière d'en- traide quiconque est personnellement et directement touché par une mesu- re d'entraide et a un intérêt digne de protection à ce qu'elle soit annulée ou modifiée. La personne visée par la procédure pénale étrangère peut recou- rir aux mêmes conditions (art. 21 al. 3 EIMP). Conformément à l'art. 9a let. b OEIMP, "est notamment réputé personnellement et directement tou- ché au sens des art. 21 al. 3, et 80h EIMP, en cas de perquisition, le pro- 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non publié à l'ATF 131 II 132; 1A.164/2003 du 3 septembre 2003, consid. 4; 1A.229/2000 du</w:t>
      </w:r>
    </w:p>
    <w:p>
      <w:r>
        <w:rPr>
          <w:b/>
        </w:rPr>
        <w:t>E. 3</w:t>
      </w:r>
    </w:p>
    <w:p>
      <w:r>
        <w:t>La recourante fait également valoir une atteinte à la sphère privée. Elle précise que le cahier devant être remis aux autorités françaises contient une quantité de renseignements qui font partie de la sphère privée de ses clients, lesquels pouvaient s'attendre à ce que ces données restent confi- dentielles; dès lors, toute transmission serait contraire à l'art. 13 Cst. Le MP-GE retient pour sa part qu'il est faux de prétendre que rien ne serait re- proché aux clients de la recourante. Il rappelle au surplus que seule l'autori- té requérante peut déterminer lesquels d'entre eux avaient connaissance du schéma frauduleux en question et l'acceptaient.</w:t>
      </w:r>
    </w:p>
    <w:p>
      <w:r>
        <w:rPr>
          <w:b/>
        </w:rPr>
        <w:t>E. 3.1</w:t>
      </w:r>
    </w:p>
    <w:p>
      <w:r>
        <w:t>En l'espèce, à l'appui de son grief, la recourante invoque exclusivement les intérêts de ses clients et non les siens propres. Elle ne précise en rien de quelle manière elle serait sur ce point personnellement et directement tou- chée au sens de l'art. 80h let. b EIMP (ZIMMERMANN, op. cit., no 394 p. 360 s.). Rien ne permet d'établir non plus qu'elle serait légitimée à inter- venir au nom de ses clients. Ce grief est donc irrecevable.</w:t>
      </w:r>
    </w:p>
    <w:p>
      <w:r>
        <w:t>- 9 -</w:t>
      </w:r>
    </w:p>
    <w:p>
      <w:r>
        <w:rPr>
          <w:b/>
        </w:rPr>
        <w:t>E. 3.2.1</w:t>
      </w:r>
    </w:p>
    <w:p>
      <w:r>
        <w:t>En tout état de cause, si on devait admettre que par ce biais la recourante invoquait son secret d'affaire, ainsi que le respect de son devoir de diligen- ce et de discrétion vis-à-vis de ses clients, ce qui, selon elle primerait l'inté- rêt à la transmission des documents concernés, il faut rappeler que 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(v. ég. art. 171 CPP). N'en font partie ni les banques (ATF 123 II 153 consid. 7) ni les fiduciaires ou gérants d'affaires (arrêt du Tribunal fédéral 1A.61/2001 du 5 novembre 2001, consid. 2b/aa). L'intérêt au secret d'affaires peut aussi prévaloir, au terme de la pesée d'intérêts commandée par le principe de la proportionnalité (arrêt du Tribunal fédéral 1C_247/2011 du 6 juin 2011, consid. 1.3).</w:t>
      </w:r>
    </w:p>
    <w:p>
      <w:r>
        <w:rPr>
          <w:b/>
        </w:rPr>
        <w:t>E. 3.2.2</w:t>
      </w:r>
    </w:p>
    <w:p>
      <w:r>
        <w:t>En l'espèce, la recourante ne fait valoir aucun motif qui l'autoriserait à refu- ser de témoigner. Il ressort ainsi de ce qui précède que le grief soulevé peut uniquement être abordé sous l'angle de la proportionnalité.</w:t>
      </w:r>
    </w:p>
    <w:p>
      <w:r>
        <w:rPr>
          <w:b/>
        </w:rPr>
        <w:t>E. 3.2.3</w:t>
      </w:r>
    </w:p>
    <w:p>
      <w:r>
        <w:t>A cet égard, la recourante fait valoir que le cahier concerné contient des in- formations qui ne sont pas en lien direct avec les personnes visées par l'annexe 2 de la demande d'entraide, ce qui justifie le refus de sa transmis- sion ou subsidiairement le caviardage d'une partie de son contenu. Le MP-GE retient quant à lui qu'au vu du système généralisé de mise à dispo- sition de liquide et de compensation pour les clients de la recourante, seul un examen client par client peut permettre de déterminer lesquels sont possiblement en infraction, et ce, par recoupement avec les très nombreu- ses données recueillies par l'autorité requérante.</w:t>
      </w:r>
    </w:p>
    <w:p>
      <w:r>
        <w:rPr>
          <w:b/>
        </w:rPr>
        <w:t>E. 3.2.4</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w:t>
      </w:r>
    </w:p>
    <w:p>
      <w:r>
        <w:t>- 10 -</w:t>
      </w:r>
    </w:p>
    <w:p>
      <w:r>
        <w:t>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 de de procéder permet aussi d’éviter d’éventuelles demandes complémen- 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découle du fait que l’autorité requérante peut vouloir vérifier que les agissements qu’elle connaît déjà n’ont pas été précédés ou suivis d’autres actes du même gen- re (cf. arrêts du Tribunal fédéral 1A.259/2006 du 26 janvier 2007, consid. 2.2; 1A.75/2006 du 20 juin 2006, consid. 3.2; 1A.79/2005 du 27 avril 2005, consid. 4.2; 1A.59/2005 du 26 avril 2005, consid. 6.2).</w:t>
      </w:r>
    </w:p>
    <w:p>
      <w:r>
        <w:rPr>
          <w:b/>
        </w:rPr>
        <w:t>E. 3.2.5</w:t>
      </w:r>
    </w:p>
    <w:p>
      <w:r>
        <w:t>Il ressort de la demande d'entraide que l'autorité requérante sollicite la transmission de tout élément de preuve permettant notamment d'identifier l'origine des fonds ayant fait ensuite l'objet d'une compensation en espèces avant les virements bancaires au bénéfice de structures appartenant aux trafiquants de stupéfiants, éventuellement via des comptes de sociétés pi- lotées par B. (act. 1.6 p. 5). Dans ce contexte, il sied de rappeler que la fa- mille de B. ainsi que ses associés ont manifestement mis sur pied un sys- tème de blanchiment basé sur la collecte d'espèces issues du trafic de stu- péfiants. Selon l'Etat requérant, à Paris, des collecteurs de fonds en rela- tion avec les vendeurs de drogue remettaient des sommes en liquide à D., lequel les "vendait" ensuite à des clients intéressés, désireux d'obtenir du cash. Les fonds ainsi perçus en espèces par ces derniers, majorés d'une commission de 11,55%, auraient été compensés en Suisse, moyennant des fausses factures, grâce aux comptes bancaires ouverts et alimentés préalablement par les clients. La recourante, animée par B., aurait ainsi fourni de multiples services à l'organisation, en procédant aux compensa- tions précitées, mais également en effectuant des dépôts d'espèces à</w:t>
      </w:r>
    </w:p>
    <w:p>
      <w:r>
        <w:t>- 11 -</w:t>
      </w:r>
    </w:p>
    <w:p>
      <w:r>
        <w:t>l'étranger, en créant et administrant des trusts crées par centaines, notam- ment dans des centres offshores, en ouvrant et en structurant des comptes bancaires, en mettant à disposition des comptes bancaires de passage, des faux prêts ou encore en établissant de fausses factures (act. 1.5 p. 5, 6, 10). Les clients de la société recourante impliqués dans cette affaire, fi- gurant dans l'annexe 2 de la demande d'entraide, sont près de 200 (act. 1.7). Au surplus, il s'avère que leurs identités sont parfois incomplètes (act. 1.6 p. 4), ce qui laisse supposer que d'autres pourraient venir s'y ajou- ter, élément que la demande d'entraide vise précisément à clarifier. Il n'est dès lors pas douteux que l'ensemble des renseignements qui figure dans le cahier établi par l'employée de la recourante et dans lequel celle-ci notait toutes les opérations qu'elle menait sont susceptibles de faire avancer l'en- quête française en permettant aux autorités d'établir notamment le chemi- nement des fonds concernés y compris leurs destinataires finaux. Ainsi que le relève le MP-GE, seul l'état requérant dispose de tous les éléments né- cessaires pour pouvoir procéder à ces identifications. En outre, dans ces conditions, l'hypothèse d'un caviardage de certains noms ne saurait entrer en considération. L'Etat requérant dispose ainsi d'un intérêt à recevoir l'en- semble de la documentation litigieuse.</w:t>
      </w:r>
    </w:p>
    <w:p>
      <w:r>
        <w:rPr>
          <w:b/>
        </w:rPr>
        <w:t>E. 3.2.6</w:t>
      </w:r>
    </w:p>
    <w:p>
      <w:r>
        <w:t>En conséquence, il n'existe in casu aucun intérêt privé concret au maintient du secret d'affaires. L'exécution de la demande ne viole dès lors pas le principe de la proportionnalité.</w:t>
      </w:r>
    </w:p>
    <w:p>
      <w:r>
        <w:rPr>
          <w:b/>
        </w:rPr>
        <w:t>E. 4</w:t>
      </w:r>
    </w:p>
    <w:p>
      <w:r>
        <w:t>Les considérants qui précèdent conduisent au rejet du recours.</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 pleur et de la difficulté de la cause. La recourante supportera ainsi les frais du présent arrêt qui sont fixés à CHF 5'000.-- (art. 73 al. 2 LOAP et art. 8 al. 3 du règlement du Tribunal pénal fédéral sur les frais, émoluments, dé- pens et indemnités de la procédure pénale fédérale [RFPPF; RS 173.713.162] et art. 63 al. 5 PA), couverts par l'avance de frais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