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RR.2013.11 vom 13. Juni 2013</w:t>
      </w:r>
    </w:p>
    <w:p>
      <w:r>
        <w:t>Bundesstrafgericht, 2013-06-13, DE</w:t>
      </w:r>
    </w:p>
    <w:p>
      <w:r>
        <w:rPr>
          <w:b/>
        </w:rPr>
        <w:t xml:space="preserve">Quelle: </w:t>
      </w:r>
      <w:r>
        <w:t>https://mcp.opencaselaw.ch/entscheid/bstger_RR.2013.11</w:t>
      </w:r>
    </w:p>
    <w:p>
      <w:r>
        <w:t>FR: TPF RR.2013.11 du 13 juin 2013</w:t>
      </w:r>
    </w:p>
    <w:p>
      <w:r>
        <w:t>IT: TPF RR.2013.11 del 13 giugno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BGE 136 IV 82 E. 3.1; 129 II 462 E. 1.1 S. 464, m.w.H.). Vorbehalten bleibt die Wah- rung der Menschenrechte (BGE 135 IV 212 E. 2.3; 123 II 595 E. 7c).</w:t>
      </w:r>
    </w:p>
    <w:p>
      <w:r>
        <w:rPr>
          <w:b/>
        </w:rPr>
        <w:t>E. 2.1</w:t>
      </w:r>
    </w:p>
    <w:p>
      <w:r>
        <w:t>Beim angefochtenen Entscheid handelt es sich um eine Schlussverfügung der ausführenden kantonalen Behörde, welche zusammen mit der voran-</w:t>
      </w:r>
    </w:p>
    <w:p>
      <w:r>
        <w:t>- 5 -</w:t>
      </w:r>
    </w:p>
    <w:p>
      <w:r>
        <w:t>gehenden Zwischenverfügung der Beschwerde an die Beschwerdekammer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Beschwerde vom 9. Janu- ar 2013 gegen die Schlussverfügung der Staatsanwaltschaft vom 5. De- zember 2012 wurde vorliegend rechtzeitig im Sinne von Art. 80k IRSG er- hoben.</w:t>
      </w:r>
    </w:p>
    <w:p>
      <w:r>
        <w:rPr>
          <w:b/>
        </w:rPr>
        <w:t>E. 2.2</w:t>
      </w:r>
    </w:p>
    <w:p>
      <w:r>
        <w:t>Mit Schlussverfügung vom 5. Dezember 2012 wird die Herausgabe von Beweismitteln, die anlässlich der Durchsuchung der Räumlichkeiten des Beschwerdeführers und der C. GmbH in Z. und Räumlichkeiten der C. GmbH in Y. beschlagnahmt worden sind, verfügt. Es ist unbestritten, dass es sich bei den Räumlichkeiten in Y. und einen Teil der Räumlichkei- ten in Z. um Räumlichkeiten der C. GmbH handelt (vgl. act. 1, Ziff. 12).</w:t>
      </w:r>
    </w:p>
    <w:p>
      <w:r>
        <w:rPr>
          <w:b/>
        </w:rPr>
        <w:t>E. 2.3</w:t>
      </w:r>
    </w:p>
    <w:p>
      <w:r>
        <w:t>Die Beschwerdegegnerin hält in ihrer Beschwerdeantwort fest, der Be- schwerdeführer sei betreffend die Durchsuchung der Räumlichkeiten der C. GmbH nicht beschwerdelegitimiert (act. 8, Ziff. 1.2). Der Beschwerdefüh- rer hält dem sinngemäss entgegen, dass gegen ihn in Deutschland ein Strafverfahren geführt werde, weswegen seine Beschwerdelegitimation zu bejahen sei (act. 11, Ziff. 7 ff.).</w:t>
      </w:r>
    </w:p>
    <w:p>
      <w:r>
        <w:rPr>
          <w:b/>
        </w:rPr>
        <w:t>E. 2.4</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Bezie- hung zum Streitobjekt zu haben behauptet. Vielmehr muss eine vom ein- schlägigen Bundesrecht erfasste "spezifische Beziehungsnähe" dargetan sein. Eine blosse mittelbare Betroffenheit genügt hingegen nicht (BGE 129 II 268 E. 2.3.3 S. 269; 128 II 211 E. 2.2 S. 216 f.; 127 II 104 E. 3 S. 107 ff.; 198 E. 2d S. 205; 126 II 258 E. 2d S. 259; 125 II 356 E. 3b/aa S. 361 f.; 123 II 153 E. 2b S. 156, je mit Hinweisen). Als persönlich und direkt betroffen (im Sinne von Art. 80h lit. b und Art. 21 Abs. 3 IRSG) wird im Falle von Hausdurchsuchungen der Eigentümer oder der Mieter angesehen (Art. 9a lit. b IRSV; BGE 122 II 130 E. 2b). Das Gleiche gilt nach der Recht- sprechung für Personen, gegen die unmittelbar Zwangsmassnahmen an-</w:t>
      </w:r>
    </w:p>
    <w:p>
      <w:r>
        <w:t>- 6 -</w:t>
      </w:r>
    </w:p>
    <w:p>
      <w:r>
        <w:t>geordnet wurden (BGE 128 II 211 E. 2.3-2.5 S. 217 ff.; 123 II 153 E. 2b S. 157, je mit Hinweisen).</w:t>
      </w:r>
    </w:p>
    <w:p>
      <w:r>
        <w:rPr>
          <w:b/>
        </w:rPr>
        <w:t>E. 2.5</w:t>
      </w:r>
    </w:p>
    <w:p>
      <w:r>
        <w:t>Einführend ist festzuhalten, dass der Beschwerdeführer verkennt, dass der im ausländischen Strafverfahren Beschuldigte nicht per se betreffend Rechtshilfehandlungen im Zusammenhang mit dem ausländischen Straf- verfahren beschwerdelegitimiert ist. Personen, gegen die sich das auslän- dische Strafverfahren richtet, können Verfügungen nur anfechten, wenn ei- ne Rechtshilfemassnahme sie persönlich und direkt betrifft und sie ein schutzwürdiges Interesse an deren Aufhebung oder Änderung haben (Art. 21 Abs. 3 IRSG).</w:t>
      </w:r>
    </w:p>
    <w:p>
      <w:r>
        <w:t>In Bezug auf die Durchsuchung der Räumlichkeiten der C. GmbH ist der Beschwerdeführer gestützt auf die eindeutige, obzitierte Rechtsprechung vorliegend nicht beschwerdebefugt; der Beschwerdeführer behauptet auch nicht, Mieter oder Eigentümer dieser Räumlichkeiten zu sein (act. 11, Ziff. 9). Inwiefern der Beschwerdeführer von der im Rahmen der Durchsu- chung der Räumlichkeiten der C. GmbH erfolgten Beschlagnahme von Be- weismitteln und der mit Schlussverfügung verfügten Herausgabe von Be- weismitteln beschwerdebefugt sein soll, wird von ihm nicht dargetan und geht aus den Akten auch nicht hervor. Auf die Beschwerde wird somit inso- fern nicht eingetreten, als der Beschwerdeführer die Aufhebung der Schlussverfügung betreffend die im Rahmen der Durchsuchung der Räum- lichkeiten der C. GmbH beschlagnahmten und zur Herausgabe vorgesehe- nen Gegenstände beantragt.</w:t>
      </w:r>
    </w:p>
    <w:p>
      <w:r>
        <w:rPr>
          <w:b/>
        </w:rPr>
        <w:t>E. 2.6</w:t>
      </w:r>
    </w:p>
    <w:p>
      <w:r>
        <w:t>Soweit der Beschwerdeführer die Aufhebung des Durchsuchungsbefehls, des Beschlagnahmebefehls und der Schlussverfügung betreffend die im Rahmen der Durchsuchung seiner eigenen Räumlichkeiten beschlagnahm- ten und zur Herausgabe vorgesehenen Gegenstände beantragt, ist auf die Beschwerde daher in diesem Umfang einzutreten.</w:t>
      </w:r>
    </w:p>
    <w:p>
      <w:r>
        <w:rPr>
          <w:b/>
        </w:rPr>
        <w:t>E. 3.1</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RR.2007.27 vom 10. April 2007, E. 2.3; s. ferner JdT 2008 IV 66 N. 331 S. 166). Nach der bundesgerichtlichen Rechtsprechung muss sich die urteilende Instanz</w:t>
      </w:r>
    </w:p>
    <w:p>
      <w:r>
        <w:t>- 7 -</w:t>
      </w:r>
    </w:p>
    <w:p>
      <w:r>
        <w:t>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 richts 1A.59/2004 vom 16. Juli 2004, E. 5.2, mit weiteren Hinweisen).</w:t>
      </w:r>
    </w:p>
    <w:p>
      <w:r>
        <w:rPr>
          <w:b/>
        </w:rPr>
        <w:t>E. 3.2</w:t>
      </w:r>
    </w:p>
    <w:p>
      <w:r>
        <w:t>Der Beschwerdeführer rügt, es habe zu keinem Zeitpunkt ein hinreichender Tatverdacht vorgelegen, welcher den Durchsuchungsbefehl zu rechtferti- gen vermochte. Die Durchsuchung seiner Räumlichkeiten sei deswegen unrechtmässig gewesen. Folglich seien die bei der Hausdurchsuchung si- chergestellten Beweismittel nicht beschlagnahmefähig, weswegen der Durchsuchungsbefehl, der Beschlagnahmebefehl und die Schlussverfü- gung aufzuheben seien (act. 1, Ziff. 26 und 29). Da zu keinem Zeitpunkt ein Tatverdacht gegen den Beschwerdeführer bestanden habe, handle es sich beim deutschen Rechtshilfeersuchen um eine "fishing expedition" (act. 1, Ziff. 26 und 29).</w:t>
      </w:r>
    </w:p>
    <w:p>
      <w:r>
        <w:rPr>
          <w:b/>
        </w:rPr>
        <w:t>E. 3.3</w:t>
      </w:r>
    </w:p>
    <w:p>
      <w:r>
        <w:t>In formeller Hinsicht muss das Rechtshilfeersuchen insbesondere Angaben über den Gegenstand und den Grund des Ersuchens enthalten (Art. 14 Ziff. 1 lit. b EUeR). Daraus leitet die Praxis ein Verbot der Beweis- ausforschung ab; dieses richtet sich gegen Beweisaufnahmen “auf’s Gera- tewohl“. Es dürfen keine strafprozessualen Untersuchungshandlungen zur Auffindung von Belastungsmaterial zwecks nachträglicher Begründung ei- nes Tatverdachtes (oder zur Verfolgung nicht rechtshilfefähiger Delikte) durchgeführt werden. Eine hinreichend präzise Umschreibung der Ver- dachtsgründe soll möglichen Missbräuchen vorbeugen (Urteil des Bundes- gerichts 1A.21/2006 vom 7. März 2006, E. 3.1).</w:t>
      </w:r>
    </w:p>
    <w:p>
      <w:r>
        <w:t>Ausserdem muss das Ersuchen in Fällen wie dem vorliegenden die strafba- re Handlung bezeichnen und eine kurze Darstellung des Sachverhalts ent- halten (Art. 14 Ziff. 2 EUeR). Art. 28 Abs. 2 und 3 IRSG i. V. m. Art. 10 IRSV stellen entsprechende Anforderungen an das Rechtshilfeersuchen. Diese Angaben müssen der ersuchten Behörde allerdings nur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(vgl. statt vieler Entscheid des Bundesstrafgerichts RR.2011.193 vom 9. Juli 2012, E. 7.2 sowie BGE 129 II 97 E. 3.1 S. 98 m. w. H.).</w:t>
      </w:r>
    </w:p>
    <w:p>
      <w:r>
        <w:t>- 8 -</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3.4</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w:t>
      </w:r>
    </w:p>
    <w:p>
      <w:r>
        <w:t>- 9 -</w:t>
      </w:r>
    </w:p>
    <w:p>
      <w:r>
        <w:t>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w:t>
      </w:r>
    </w:p>
    <w:p>
      <w:r>
        <w:rPr>
          <w:b/>
        </w:rPr>
        <w:t>E. 3.5</w:t>
      </w:r>
    </w:p>
    <w:p>
      <w:r>
        <w:t>Dem Beschluss des Amtsgerichts Konstanz vom 11. Mai 2011 (act. 1.5) ist zu entnehmen, dass B. von 2001 bis November 2010 Geschäftsführer der Anstalt des öffentlichen Rechts D. gewesen sei. In dieser Funktion sei B. für die Planung und Realisierung der Bauprojekte "E." zuständig gewesen. Er soll für die D. wirtschaftlich nachteilige Verträge mit der C. GmbH, ver- treten durch den Beschwerdeführer, abgeschlossen haben. Dabei soll er bewusst gegen die ihm als Geschäftsführer obliegende Pflichten, die Ver- mögensinteressen von D. wahrzunehmen, verstossen haben. Es bestünde der Verdacht, B. habe für die pflichtwidrige Vergabe der Aufträge vom Be- schwerdeführer ihm nicht zustehende Zuwendungen in bislang unbekann- ter Höhe erhalten.</w:t>
      </w:r>
    </w:p>
    <w:p>
      <w:r>
        <w:t>Für das Bauprojekt mit einem veranschlagten Bauvolumen von ca. EUR 19'000'000.- hätte ein öffentlicher Projektzuschuss des Bundeslandes X. in Höhe EUR 3'400'000.- erlangt werden sollen. Voraussetzung dafür sei – wie B. gewusst habe – eine zwingende Ausschreibung der Planungs- und Bauarbeiten in einem Vergabeverfahren gewesen, worauf das Regierungs- präsidium mit Schreiben vom 14. Mai 2009 hingewiesen habe. Ein solches Vergabeverfahren sei von B. nicht durchgeführt worden. Stattdessen seien verschiedenen Arbeiten von B. freihändig an die C. GmbH vergeben wor- den.</w:t>
      </w:r>
    </w:p>
    <w:p>
      <w:r>
        <w:rPr>
          <w:b/>
        </w:rPr>
        <w:t>E. 3.6</w:t>
      </w:r>
    </w:p>
    <w:p>
      <w:r>
        <w:t>Die Schilderung im Beschluss weist weder offensichtliche Fehler, Lücken oder Wiedersprüche auf, welche den Sachverhaltsvorwurf im Rechtshilfe- ersuchen sofort im Sinne der Rechtsprechung entkräften würden. Der wi- dergegebene Sachverhalt lässt sich prima facie unter den Straftatbestand der ungetreuen Geschäftsbesorgung subsumieren (Art. 158 StGB). Was der Beschwerdeführer im Einzelnen und detailliert gegen die Sachverhaltsdarstellung im Ersuchen vorbringt, beschlägt die Beweiswür- digung, die im Rechtshilfeverfahren nicht zu überprüfen, sondern dem</w:t>
      </w:r>
    </w:p>
    <w:p>
      <w:r>
        <w:t>- 10 -</w:t>
      </w:r>
    </w:p>
    <w:p>
      <w:r>
        <w:t>Sachrichter vorbehalten ist. Das Rechtshilfeersuchen erscheint somit nicht als "fishing expedition". Damit erweist sich die Beschwerde in diesem Punkt als unbegründet.</w:t>
      </w:r>
    </w:p>
    <w:p>
      <w:r>
        <w:rPr>
          <w:b/>
        </w:rPr>
        <w:t>E. 4</w:t>
      </w:r>
    </w:p>
    <w:p>
      <w:r>
        <w:t>Weitere Rechtshilfehindernisse wurden weder geltend gemacht noch sind solche ersichtlich. Die Beschwerde ist deshalb, soweit auf sie einzutreten ist, abzuweisen.</w:t>
      </w:r>
    </w:p>
    <w:p>
      <w:r>
        <w:rPr>
          <w:b/>
        </w:rPr>
        <w:t>E. 5</w:t>
      </w:r>
    </w:p>
    <w:p>
      <w:r>
        <w:t>Bei diesem Ausgang des Verfahrens wird der Beschwerdeführer kosten- pflichtig (Art. 39 Abs. 2 lit. b StBOG i.V.m. Art. 63 Abs. 1 VwVG). Für die Berechnung der Gerichtsgebühren gelangt gemäss Art. 63 Abs. 5 VwVG i.V.m. Art. 73 StBOG das Reglement des Bundesstrafgerichts vom 31. Au- gust 2010 über die Kosten, Gebühren und Entschädigungen in Bundes- strafverfahren (BStKR; SR 173.713.162) zur Anwendung. Unter Berück- sichtigung aller Umstände ist die Gerichtsgebühr vorliegend auf Fr. 5'000.-- festzusetzen, unter Anrechnung des geleisteten Kostenvorschusses in glei- 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