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RR.2012.96 vom 24. Oktober 2012</w:t>
      </w:r>
    </w:p>
    <w:p>
      <w:r>
        <w:t>Bundesstrafgericht, 2012-10-24, DE</w:t>
      </w:r>
    </w:p>
    <w:p>
      <w:r>
        <w:rPr>
          <w:b/>
        </w:rPr>
        <w:t xml:space="preserve">Quelle: </w:t>
      </w:r>
      <w:r>
        <w:t>https://mcp.opencaselaw.ch/entscheid/bstger_RR.2012.96</w:t>
      </w:r>
    </w:p>
    <w:p>
      <w:r>
        <w:t>FR: TPF RR.2012.96 du 24 octobre 2012</w:t>
      </w:r>
    </w:p>
    <w:p>
      <w:r>
        <w:t>IT: TPF RR.2012.96 del 24 ottobre 2012</w:t>
      </w:r>
    </w:p>
    <w:p>
      <w:pPr>
        <w:pStyle w:val="Heading2"/>
      </w:pPr>
      <w:r>
        <w:t>Regeste</w:t>
      </w:r>
    </w:p>
    <w:p>
      <w:r>
        <w:t>Internationale Rechtshilfe in Strafsachen an Frankreich. Herausgabe von Beweismitteln (Art. 74 IRSG).</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Vorbehalten bleibt die Wahrung der Menschenrechte (vgl. BGE 135 IV 212 E. 2.3; 123 II 595 E. 7c S. 616 ff.).</w:t>
      </w:r>
    </w:p>
    <w:p>
      <w:r>
        <w:rPr>
          <w:b/>
        </w:rPr>
        <w:t>E. 2.1</w:t>
      </w:r>
    </w:p>
    <w:p>
      <w:r>
        <w:t>Zur Beschwerdeführung ist berechtigt, wer persönlich und direkt von einer Rechtshilfemassnahme betroffen ist und ein schutzwürdiges Interesse an deren Aufhebung oder Änderung hat (Art. 80h lit. b IRSG).</w:t>
      </w:r>
    </w:p>
    <w:p>
      <w:r>
        <w:t>Ein schutzwürdiges Interesse liegt nicht schon dann vor, wenn jemand ir- gendeine Beziehung zum Streitobjekt zu haben behauptet. Vielmehr muss eine vom einschlägigen Bundesrecht erfasste "spezifische Beziehungsnä- he" dargetan sein. Eine bloss mittelbare Betroffenheit genügt hingegen nicht (BGE 129 II 268 E. 2.3.3 S. 269; 128 II 211 E. 2.2 S. 216 f.; 127 II 104</w:t>
      </w:r>
    </w:p>
    <w:p>
      <w:r>
        <w:t>- 4 -</w:t>
      </w:r>
    </w:p>
    <w:p>
      <w:r>
        <w:t>E. 3 S. 107 ff., 198 E. 2d S. 205; 126 II 258 E. 2d S. 259; 125 II 356 E. 3b/aa S. 361 f.; 123 II 153 E. 2b S. 156, je mit Hinweisen; TPF 2010 47 E. 2.1 S. 48). Als persönlich und direkt betroffen (im Sinne von Art. 80h lit. b und Art. 21 Abs. 3 IRSG) wird im Falle der Erhebung von Kontenin- forma-tionen der jeweilige Kontoinhaber angesehen (Art. 9a lit. a IRSV; BGE 118 Ib 547 E. 1d; BGE 122 II 130 E. 2b; TPF 2007 79 E. 1.6). Für bloss indirekt Betroffene, insbesondere Personen, die zwar in den erhobe- nen Kontenunterlagen erwähnt werden, aber nicht direkt von Zwangs- massnahmen betroffen bzw. Inhaber der fraglichen Konten sind, ist die Be- schwerdebefugnis grundsätzlich zu verneinen (BGE 129 II 268 E. 2.3.3 S. 269; 123 II 153 E. 2b S. 157, 161 E. 1d S. 164, je mit Hinweisen; 122 II 130 E. 2b S. 132 f.).</w:t>
      </w:r>
    </w:p>
    <w:p>
      <w:r>
        <w:t>Die Beschwerdeführerin ist Inhaberin des Kontos Nr. 1 bei der Bank C. Diesbezüglich ist ihre Beschwerdelegitimation im Sinne der oben erläuter- ten Bestimmungen gegeben, weshalb in diesem Umfang auf ihre Be- schwerde einzutreten ist. Darüber hinaus ist auf die Beschwerde nicht ein- zutreten, da die weiteren angefochtenen Rechtshilfemassnahmen Konto- beziehungen betreffen, die nicht auf sie lauten.</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 strafgericht vom 31. August 2010, SR 173.713.161).</w:t>
      </w:r>
    </w:p>
    <w:p>
      <w:r>
        <w:t>Die Schlussverfügung vom 26. März 2012 ist mit Beschwerde vom 26. April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w:t>
      </w:r>
    </w:p>
    <w:p>
      <w:r>
        <w:t>- 5 -</w:t>
      </w:r>
    </w:p>
    <w:p>
      <w:r>
        <w:t>che sich ihr Entscheid stützt (Urteil des Bundesgerichts 1A.59/2004 vom 16. Juli 2004, E. 5.2, mit weiteren Hinweisen).</w:t>
      </w:r>
    </w:p>
    <w:p>
      <w:r>
        <w:rPr>
          <w:b/>
        </w:rPr>
        <w:t>E. 4.1</w:t>
      </w:r>
    </w:p>
    <w:p>
      <w:r>
        <w:t>Die Beschwerdeführerin moniert zunächst, dass der Sachverhalt im Rechtshilfeersuchen verworren dargestellt sei. Es sei nicht möglich, den Sachverhalt unter das Schweizerische Recht zu subsumieren, sodass kei- ne Schlussfolgerungen in Bezug auf die doppelte Strafbarkeit gemacht werden könnten (act. 1 S. 7 f.; act. 10 S. 2 f.).</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w:t>
      </w:r>
    </w:p>
    <w:p>
      <w:r>
        <w:t>- 6 -</w:t>
      </w:r>
    </w:p>
    <w:p>
      <w:r>
        <w:t>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rPr>
          <w:b/>
        </w:rPr>
        <w:t>E. 4.4</w:t>
      </w:r>
    </w:p>
    <w:p>
      <w:r>
        <w:t>Im französischen Rechtshilfeersuchen vom 22. Juni 2010 wird zum strafba- ren Verhalten im Wesentlichen Folgendes ausgeführt: Im Juni 2005 habe die "E." Strafanzeige gegen Unbekannt wegen Fälschung erhoben. Dies,</w:t>
      </w:r>
    </w:p>
    <w:p>
      <w:r>
        <w:t>- 7 -</w:t>
      </w:r>
    </w:p>
    <w:p>
      <w:r>
        <w:t>weil im Februar 2005 an einen Beamten einer öffentlich-rechtlichen Körper- schaft von einer gewissen "F.", die sich als Hellseherin präsentiert habe, eine Werbeschrift zugestellt worden sei. Darin sei dem Beamten eine Überweisung von EUR 30'000.-- seitens einer "E.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"F." ver- schickt worden seien mit dem Ziel, von den Empfängern Geldzahlungen in der Hoffnung auf beträchtliche Gewinne zu erhalten. Es seien ferner Anruf- automaten eingesetzt worden, um bei den betroffenen Personen den Glau- ben zu erwecken, einen Anruf von "F." erhalten zu haben. Die esoterischen Werbekampagnen "F." würden zu einem grösseren Netz gehören, das sich bis nach Amerika und Holland erstrecken würde. Die Tätigkeit habe sich als lukrativ erwiesen. Die von Privatpersonen eingeschickten Schecks seien auf einem Konto der schweizerischen Firma D. AG bei der französischen Bank G. eingelöst worden. Die Einzahlungen auf dieses Konto hätten sich monatlich auf EUR 500'000.-- bis 800'000.-- belaufen (Verfahrensakten Urk. 7 ff.).</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 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 richtung einer echten, aber unwahren Urkunde, bei der also der wirkliche und der in der Urkunde enthaltene Sacherhalt nicht übereinstimmen (statt</w:t>
      </w:r>
    </w:p>
    <w:p>
      <w:r>
        <w:t>- 8 -</w:t>
      </w:r>
    </w:p>
    <w:p>
      <w:r>
        <w:t>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 "Mailings"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 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 Täter den Getäuschten von der möglichen Überprüfung abhält oder nach den gegebenen Umständen voraussieht, dass dieser die Überprüfung der</w:t>
      </w:r>
    </w:p>
    <w:p>
      <w:r>
        <w:t>- 9 -</w:t>
      </w:r>
    </w:p>
    <w:p>
      <w:r>
        <w:t>Angaben aufgrund eines besonderen Vertrauensverhältnisses unterlassen werde (BGE 126 IV 1165 E. 2a; 125 IV 124 E. 3; 122 IV 246 E. 3a je m.w.H.). Ob der Einsatz eines Anrufbeantworters zwecks Vorspiegeln eines Anrufes von "F." als besondere Machenschaft zu qualifizieren ist, lässt sich aufgrund des Sachverhalts nicht schlüssig beurteilen, kann aber auch offen bleiben. Denn Arglist scheidet nämlich in jedem Falle aus, wenn die Anga- ben in zumutbarer Weise überprüfbar gewesen wären und schon die Auf- deckung einer einzigen Lüge zur Enthüllung des ganzen Schwindels ge- nügt hätte (sog. Opfermitverantwortung). Gerade bei Geschäften, die ohne persönliche Kontakte stattfinden und die mittels einer Werbung angeprie- sen werden, ist besondere Vorsicht geboten. Auch der Umstand, dass sich vorliegend die Ausstellerin der Werbeschrift als eine Hellseherin namens "F." ausgegeben hat, hätte die Opfer stutzig machen müssen. Im Übrigen handelt es sich bei der "E." um eine der bedeutendsten öffentlich- rechtlichen Anstalten Frankreichs, die sich vor allem mit der Finanzierung öffentlich-rechtlicher Körperschaften beschäftigt. Die "E." führt weder Kon- ten für Privatpersonen noch organisiert sie Wettbewerbe. Zumindest einem französischen Beamten hätte dieser Umstand bekannt gewesen sein müs- sen. Es kommt hinzu, dass auf den Werbeschreiben von einer "E.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 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 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 untreuung im Sinne von Art. 138 Ziff. 1 StGB, da keinerlei Anhaltspunkte dafür bestehen, die Geschädigten hätten der Täterschaft Vermögenswerte</w:t>
      </w:r>
    </w:p>
    <w:p>
      <w:r>
        <w:t>- 10 -</w:t>
      </w:r>
    </w:p>
    <w:p>
      <w:r>
        <w:t>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t>Dies führt dazu, dass das Erfordernis der doppelten Strafbarkeit vorliegend nicht gegeben ist, weshalb die Beschwerde gutzuheissen ist und Ziffer 2 der Schlussverfügung vom 26. März 2012 in Bezug auf die Herausgabe der Bankunterlagen des bei der Bank C. liegenden Kontos Nr. 1, lautend auf die Beschwerdeführerin, aufzuheben.</w:t>
      </w:r>
    </w:p>
    <w:p>
      <w:r>
        <w:t>Damit erübrigt sich die Prüfung aller weiteren von der Beschwerdeführerin vorgebrachten Punkte.</w:t>
      </w:r>
    </w:p>
    <w:p>
      <w:r>
        <w:rPr>
          <w:b/>
        </w:rPr>
        <w:t>E. 5</w:t>
      </w:r>
    </w:p>
    <w:p>
      <w:r>
        <w:t>Bei diesem Ausgang des Verfahrens hat die Beschwerdegegnerin die Be- schwerdeführerin im Umfang des Obsiegens für die ihr erwachsenen not- 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Soweit auf die Beschwerde nicht einzutreten ist, ist der Beschwerdeführerin die Gerichtsgebühr aufzuerlegen. Für die Be- rechnung der Gerichtsgebühr gelangt das BStKR zur Anwendung (Art. 53 Abs. 2 lit. a, Art. 73 StBOG i.V.m. Art. 65 Abs. 5 VwVG sowie Art. 22 Abs. 3 BStKR). Es rechtfertigt sich, die Gerichtsgebühr auf Fr. 500.-- festzusetzen und der Beschwerdeführerin aufzuerlegen, unter Anrechnung des entspre- chenden Betrags am geleisteten Kostenvorschuss von Fr. 3'000.-- (Art. 5</w:t>
      </w:r>
    </w:p>
    <w:p>
      <w:r>
        <w:t>- 11 -</w:t>
      </w:r>
    </w:p>
    <w:p>
      <w:r>
        <w:t>und 8 Abs. 3 lit. a BStKR). Die Bundesstrafgerichtskasse ist anzuweisen, der Beschwerdeführerin den Restbetrag von Fr. 2'500.--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