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RR.2012.93 vom 18. Juli 2012</w:t>
      </w:r>
    </w:p>
    <w:p>
      <w:r>
        <w:t>Bundesstrafgericht, 2012-07-18, IT</w:t>
      </w:r>
    </w:p>
    <w:p>
      <w:r>
        <w:rPr>
          <w:b/>
        </w:rPr>
        <w:t xml:space="preserve">Quelle: </w:t>
      </w:r>
      <w:r>
        <w:t>https://mcp.opencaselaw.ch/entscheid/bstger_RR.2012.93</w:t>
      </w:r>
    </w:p>
    <w:p>
      <w:r>
        <w:t>FR: TPF RR.2012.93 du 18 juillet 2012</w:t>
      </w:r>
    </w:p>
    <w:p>
      <w:r>
        <w:t>IT: TPF RR.2012.93 del 18 luglio 2012</w:t>
      </w:r>
    </w:p>
    <w:p>
      <w:pPr>
        <w:pStyle w:val="Heading2"/>
      </w:pPr>
      <w:r>
        <w:t>Regeste</w:t>
      </w:r>
    </w:p>
    <w:p>
      <w:r>
        <w:t>Assistenza giudiziaria internazionale in materia penale all'Italia/Consegna di mezzi di prova (art. 74 AIMP): diritto di essere sentito; esposto dei fatti; proporzionalità.</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 zione del Tribunale penale federale (ROTPF; RS 173.713.161; nuovo testo giusta il n. I dell'ordinanza del 23 agosto 2011, in vigore dal 1° gennaio 2012, RU 2011 4495), la Corte dei reclami penali giudica i gravami in mate- 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136 IV 82 consid. 3.1; 135 IV 212 consid. 2.3; 123 II 134 consid. 1a; 122 II 140 consid. 2). Il principio di favore vale anche nell'applicazione delle pertinenti norme di diritto internazionale (v. art. 48 n. 2 CAS, 39 n. 3 CRic e art. I n. 2 Accordo italo svizzero). È fatto</w:t>
      </w:r>
    </w:p>
    <w:p>
      <w:r>
        <w:t>- 4 -</w:t>
      </w:r>
    </w:p>
    <w:p>
      <w:r>
        <w:t>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 La legittimazione dei ricorrenti, ti- tolari del conto oggetto della criticata misura rogatoriale, è pacifica (v. art. 80h lett. b AIMP e art. 9a lett. a OAIMP; DTF 137 IV 134 consid. 5.2.1; 118 Ib 547 consid. 1d; TPF 2007 79 consid. 1.6).</w:t>
      </w:r>
    </w:p>
    <w:p>
      <w:r>
        <w:rPr>
          <w:b/>
        </w:rPr>
        <w:t>E. 2</w:t>
      </w:r>
    </w:p>
    <w:p>
      <w:r>
        <w:t>Gli insorgenti sostengono di essere venuti a conoscenza della procedura di assistenza giudiziaria solo dopo l'emanazione della decisione di chiusura qui impugnata, ciò che non avrebbe permesso loro di esaminare la docu- mentazione destinata all'autorità rogante, in violazione quindi del loro diritto di essere sentiti.</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 la necessaria cernita, ha l'obbligo di motivare accuratamente la decisione di chiusura (DTF 130 II 14 consid. 4.4 pag. 18). Essa non potrebbe infatti or- dinare in modo acritico e indeterminato la trasmissione dei documenti, de- 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 re in maniera concreta ed effettiva il loro diritto di essere sentiti (v. art. 30 cpv. 1 PA), secondo modalità di collaborazione comunque rispettose del principio della buona fede (art. 5 cpv. 3 Cost.; PATRICK L. KRAUS- KOPF/KATRIN EMMENEGGER, in: B. Waldmann/P. Weissenberger, Praxi- skommentar VwVG, Zurigo/Basilea/Ginevra 2009, n. 54 ad art. 12). La cer- 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- 5 -</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ALBERTINI, op. cit., pag. 449 con rinvii). Una violazione di questo diritto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2.2</w:t>
      </w:r>
    </w:p>
    <w:p>
      <w:r>
        <w:t>Nella fattispecie, occorre innanzitutto ricordare che l'autorità d'esecuzione non è obbligata a notificare le proprie decisioni all'estero (v. art. 80m AIMP; art. 9 OAIMP; sentenza del Tribunale federale 1A.221/2002 del 25 novembre 2002, consid. 2.6). L'ordine di edizione e sequestro del</w:t>
      </w:r>
    </w:p>
    <w:p>
      <w:r>
        <w:rPr>
          <w:b/>
        </w:rPr>
        <w:t>E. 5</w:t>
      </w:r>
    </w:p>
    <w:p>
      <w:r>
        <w:t>In conclusione, il ricorso va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6'000.--;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