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RR.2012.91 vom 18. Juli 2012</w:t>
      </w:r>
    </w:p>
    <w:p>
      <w:r>
        <w:t>Bundesstrafgericht, 2012-07-18, IT</w:t>
      </w:r>
    </w:p>
    <w:p>
      <w:r>
        <w:rPr>
          <w:b/>
        </w:rPr>
        <w:t xml:space="preserve">Quelle: </w:t>
      </w:r>
      <w:r>
        <w:t>https://mcp.opencaselaw.ch/entscheid/bstger_RR.2012.91</w:t>
      </w:r>
    </w:p>
    <w:p>
      <w:r>
        <w:t>FR: TPF RR.2012.91 du 18 juillet 2012</w:t>
      </w:r>
    </w:p>
    <w:p>
      <w:r>
        <w:t>IT: TPF RR.2012.91 del 18 luglio 2012</w:t>
      </w:r>
    </w:p>
    <w:p>
      <w:pPr>
        <w:pStyle w:val="Heading2"/>
      </w:pPr>
      <w:r>
        <w:t>Regeste</w:t>
      </w:r>
    </w:p>
    <w:p>
      <w:r>
        <w:t>Assistenza giudiziaria internazionale in materia penale all'Italia/Consegna di mezzi di prova (art. 74 AIMP): diritto di essere sentito; esposto dei fatti; proporzionalità.</w:t>
      </w:r>
    </w:p>
    <w:p>
      <w:pPr>
        <w:pStyle w:val="Heading2"/>
      </w:pPr>
      <w:r>
        <w:t>Erwägungen</w:t>
      </w:r>
    </w:p>
    <w:p>
      <w:r>
        <w:rPr>
          <w:b/>
        </w:rPr>
        <w:t>E. 1.1</w:t>
      </w:r>
    </w:p>
    <w:p>
      <w:r>
        <w:t>In virtù dell'art. 37 cpv. 2 lett. a della legge federale del 19 marzo 2010 sull' organizzazione delle autorità penali della Confederazione (LOAP; RS 173.71) e 19 cpv. 2 del regolamento del 31 agosto 2010 sull'organizza- zione del Tribunale penale federale (ROTPF; RS 173.713.161; nuovo testo giusta il n. I dell'ordinanza del 23 agosto 2011, in vigore dal 1° gennaio 2012, RU 2011 4495), la Corte dei reclami penali giudica i gravami in mate- ria di assistenza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w:t>
      </w:r>
    </w:p>
    <w:p>
      <w:r>
        <w:t>- 4 -</w:t>
      </w:r>
    </w:p>
    <w:p>
      <w:r>
        <w:t>ternazionale in materia penale del 20 marzo 1981 (AIMP; RS 351.1), uni- tamente alla relativa ordinanza (OAIMP; RS 351.11; v. art. 1 cpv. 1 AIMP, art. I n. 2 Accordo italo-svizzero; DTF 136 IV 82 consid. 3.1; 135 IV 212 consid. 2.3; 123 II 134 consid. 1a; 122 II 140 consid. 2). Il principio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cantonale d’esecuzione, il ricorso è ricevibile sotto il profilo de- gli art. 25 cpv. 1, 80e cpv. 1 e 80k AIMP. La legittimazione dei ricorrenti, ti- tolari del conto oggetto della criticata misura rogatoriale, è pacifica (v. art. 80h lett. b AIMP e art. 9a lett. a OAIMP; DTF 137 IV 134 consid. 5.2.1; 118 Ib 547 consid. 1d; TPF 2007 79 consid. 1.6). Tuttavia, per quanto attiene a B, è d'uopo constatare che nessuna procura è stata inoltrata dall'avv. Pinna entro il termine fissato (v. act. 5). Avendo questa Corte chiaramente infor- mato il legale della reclamante sulle conseguenze di una tale omissione (v. art. 23 PA), il reclamo della suddetta è da considerarsi inammissibile.</w:t>
      </w:r>
    </w:p>
    <w:p>
      <w:r>
        <w:rPr>
          <w:b/>
        </w:rPr>
        <w:t>E. 2</w:t>
      </w:r>
    </w:p>
    <w:p>
      <w:r>
        <w:t>L'insorgente sostiene di essere venuto a conoscenza della procedura di assistenza giudiziaria solo dopo l'emanazione della decisione di chiusura qui impugnata, ciò che non gli avrebbe permesso di esaminare la docu- mentazione destinata all'autorità rogante, in violazione quindi del suo diritto di essere sentito.</w:t>
      </w:r>
    </w:p>
    <w:p>
      <w:r>
        <w:rPr>
          <w:b/>
        </w:rPr>
        <w:t>E. 2.1</w:t>
      </w:r>
    </w:p>
    <w:p>
      <w:r>
        <w:t>Secondo la giurisprudenza, l'autorità di esecuzione, dopo aver concesso al detentore della documentazione la possibilità di addurre i motivi che si op- porrebbero alla trasmissione di determinati atti e la facoltà di partecipare alla necessaria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all'autorità svizzera d'esecuzione che, in assenza di un eventuale consenso all'esecuzione semplificata (art. 80c AIMP), prima di emanare una decisione di chiusura, deve impartire alle persone toccate giusta l'art. 80h lett. b AIMP e art. 9a OAIMP un termine per addurre riguardo a ogni singolo documento gli argomenti che secondo loro si opporrebbero alla consegna; questo affinché esse possano esercita- re in maniera concreta ed effettiva il loro diritto di essere sentiti (v. art. 30 cpv. 1 PA), secondo modalità di collaborazione comunque rispettose del principio della buona fede (art. 5 cpv. 3 Cost.; PATRICK L. KRAUS-</w:t>
      </w:r>
    </w:p>
    <w:p>
      <w:r>
        <w:t>- 5 -</w:t>
      </w:r>
    </w:p>
    <w:p>
      <w:r>
        <w:t>KOPF/KATRIN EMMENEGGER, in: B. Waldmann/P. Weissenberger, Praxi- skommentar VwVG, Zurigo/Basilea/Ginevra 2009, n. 54 ad art. 12). La cer- nita deve aver luogo anche qualora l'interessato rinunci ad esprimersi (DTF 130 II 14 consid. 4.3 e 4.4; 126 II 258 consid. 9b/aa pag. 262; cfr. an- che DTF 127 II 151 consid. 4c/aa; ROBERT ZIMMERMANN, La coopération judiciaire internationale en matière pénale, 3a ediz., Berna 2009, n. 484, 723-724; PASCAL DE PREUX, L'entraide internationale en matière pénale et la lutte contre le blanchiment d'argent, in SJZ 104/2008 n. 2 pag. 34).</w:t>
      </w:r>
    </w:p>
    <w:p>
      <w:r>
        <w:t>Il diritto di essere sentito, ancorato all’art. 29 cpv. 2 Cost., viene concretiz- zato nell’ambito dell’assistenza giudiziaria internazionale agli art. 29 e segg. PA richiamato l’art. 12 cpv. 1 AIMP (ZIMMERMANN, op. cit., n. 472). Esso è di natura formale (DTF 126 I 19 consid. 2d/bb pag. 24; 125 I 113 consid. 3; ALBERTINI, op. cit., pag. 449 con rinvii). Una violazione di questo diritto fondamentale da parte dell’autorità d’esecuzione non comporta co- munque automaticamente l’accoglimento del gravame e l’annullamento del- la decisione impugnata. Secondo la giurisprudenza e la dottrina una viola- zione del diritto di essere sentito può essere sanata, se la persona toccata ottiene la possibilità di esprimersi in merito davanti ad una autorità di ricor- so, la quale, come nella fattispecie la Corte dei reclami penali del Tribunale penale federale, dispone del medesimo potere d’esame dell’autorità d’esecuzione stessa (v. DTF 124 II 132 consid. 2d; sentenze del Tribunale federale 1C_525/2008 e 1C_526/2008 del 28 novembre 2008, consid. 1.3 nonché 1A.54/2004 del 30 aprile 2004; TPF 2008 172 consid. 2.3; ZIMMERMANN, op. cit., n. 472; ALBERTINI, op. cit., pag. 458 e segg.)</w:t>
      </w:r>
    </w:p>
    <w:p>
      <w:r>
        <w:rPr>
          <w:b/>
        </w:rPr>
        <w:t>E. 2.2</w:t>
      </w:r>
    </w:p>
    <w:p>
      <w:r>
        <w:t>Nella fattispecie, occorre innanzitutto ricordare che l'autorità d'esecuzione non è obbligata a notificare le proprie decisioni all'estero (v. art. 80m AIMP; art. 9 OAIMP; sentenza del Tribunale federale 1A.221/2002 del 25 novembre 2002, consid. 2.6). L'ordine di edizione e sequestro del</w:t>
      </w:r>
    </w:p>
    <w:p>
      <w:r>
        <w:rPr>
          <w:b/>
        </w:rPr>
        <w:t>E. 5</w:t>
      </w:r>
    </w:p>
    <w:p>
      <w:r>
        <w:t>In conclusione, il ricorso va respinto, nella misura della sua ammissibilità. Le spese seguono la soccombenza (v. art. 63 cpv. 1 della legge federale sulla procedura amministrativa del 20 dicembre 1968 [PA; RS 172.021] ri- chiamato l’art. 39 cpv. 2 lett. b LOAP). La tassa di giustizia è calcolata giu- sta gli art. 73 cpv. 2 LOAP, 63 cpv. 4bis PA, nonché 5 e 8 cpv. 3 del rego- lamento del 31 agosto 2010 sulle spese, gli emolumenti, le ripetibili e le in- dennità della procedura penale federale (RSPPF; RS 173.713.162), ed è fissata nella fattispecie a fr. 6'000.--; essa è coperta dall’anticipo delle spe- 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