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RR.2012.73 vom 23. November 2012</w:t>
      </w:r>
    </w:p>
    <w:p>
      <w:r>
        <w:t>Bundesstrafgericht, 2012-11-23, FR</w:t>
      </w:r>
    </w:p>
    <w:p>
      <w:r>
        <w:rPr>
          <w:b/>
        </w:rPr>
        <w:t xml:space="preserve">Quelle: </w:t>
      </w:r>
      <w:r>
        <w:t>https://mcp.opencaselaw.ch/entscheid/bstger_RR.2012.73</w:t>
      </w:r>
    </w:p>
    <w:p>
      <w:r>
        <w:t>FR: TPF RR.2012.73 du 23 novembre 2012</w:t>
      </w:r>
    </w:p>
    <w:p>
      <w:r>
        <w:t>IT: TPF RR.2012.73 del 23 novembre 2012</w:t>
      </w:r>
    </w:p>
    <w:p>
      <w:pPr>
        <w:pStyle w:val="Heading2"/>
      </w:pPr>
      <w:r>
        <w:t>Regeste</w:t>
      </w:r>
    </w:p>
    <w:p>
      <w:r>
        <w:t>Entraide judiciaire internationale en matière pénale au Royaume-Uni. Remise de moyens de preuve (art. 74 EIMP).</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30 août 2010 sur l’organisation du Tribu- nal pénal fédéral (ROTPF; RS 173.713.161), la Cour des plaintes du Tribu- nal pénal fédéral est compétente pour connaître des recours dirigés contre les décisions de clôture de la procédure d’entraide rendues par l’autorité fédérale d’exécution.</w:t>
      </w:r>
    </w:p>
    <w:p>
      <w:r>
        <w:rPr>
          <w:b/>
        </w:rPr>
        <w:t>E. 1.1</w:t>
      </w:r>
    </w:p>
    <w:p>
      <w:r>
        <w:t>L'entraide judiciaire entre le Royaume-Uni et la Confédération suisse est régie en premier lieu par la Convention européenne d’entraide judiciaire en matière pénale (CEEJ; RS 0.351.1), entrée en vigueur pour la Suisse le 20 mars 1967 et pour le Royaume-Uni le 27 novembre 1991. Peut égale- ment s'appliquer en l'occurrence la Convention n° 141 du Conseil de</w:t>
      </w:r>
    </w:p>
    <w:p>
      <w:r>
        <w:t>- 4 -</w:t>
      </w:r>
    </w:p>
    <w:p>
      <w:r>
        <w:t>l’Europe relative au blanchiment, au dépistage, à la saisie et à la confisca- tion des produits du crime (CBl; RS 0.311.53), entrée en vigueur pour la Suisse et pour l'Etat requérant le 1er septembre 1993.</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137 IV 33 consid. 2.2.2; 122 II 140 consid. 2 et les arrêts cités). Le droit le plus favorable à l’entraide s’applique aussi pour ce qui concerne le rapport entre elles des normes internationales pertinen- tes (v. art. 48 par. 2 CAAS). Le respect des droits fondamentaux demeure réservé (ATF 135 IV 212 consid. 2.3).</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A., en tant que titulaire du compte no 1 touché par la mesure querellée. Formé dans le délai de 30 jours à compter de la notification de la décision querellée, le recours est formellement rece- vable (art. 80k EIMP).</w:t>
      </w:r>
    </w:p>
    <w:p>
      <w:r>
        <w:t>- 5 -</w:t>
      </w:r>
    </w:p>
    <w:p>
      <w:r>
        <w:rPr>
          <w:b/>
        </w:rPr>
        <w:t>E. 2</w:t>
      </w:r>
    </w:p>
    <w:p>
      <w:r>
        <w:t>Dans un premier grief, le recourant se plaint du fait que la traduction de la demande d'entraide britannique ne serait pas officiellement certifiée conforme.</w:t>
      </w:r>
    </w:p>
    <w:p>
      <w:r>
        <w:rPr>
          <w:b/>
        </w:rPr>
        <w:t>E. 2.1</w:t>
      </w:r>
    </w:p>
    <w:p>
      <w:r>
        <w:t>Selon l’art. 28 al. 5 EIMP, les demandes et leurs annexes doivent être pré- sentées dans l’une des trois langues officielles de la Suisse, ou accompa- gnées d’une traduction dans une de ces trois langues. Les traductions doi- vent être certifiées conformes. Selon l'art. 28 al. 4 EIMP, les documents of- ficiels étrangers ne sont pas soumis à légalisation. En vertu de l'art. 28 al. 6 EIMP, l'autorité compétente peut exiger qu'une demande irrégulière en la forme soit modifiée ou complétée. L'art. 16 al. 2 CEEJ permet aux Etats parties d'exiger une traduction dans leur propre langue. La Suisse a fait usage de cette faculté dans sa déclaration, sans toutefois préciser que les traductions doivent être certifiées conformes. La présente cause étant régie par la CEEJ (v. supra consid. 1.1), le constat qui précède pourrait suffire à lui seul à priver de fondement le grief du recourant.</w:t>
      </w:r>
    </w:p>
    <w:p>
      <w:r>
        <w:t>Quoiqu'il en soit, ledit grief se révèle également mal fondé sous l'angle des règles fixées par l'EIMP. C'est en effet le lieu de rappeler que l’exigence d’une traduction officielle fixée à l'art. 28 al. 5 EIMP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 rêt du Tribunal fédéral 1A.240/1999 du 17 mars 2000, consid. 2b; arrêts du Tribunal pénal fédéral RR.2007.120/169 du 29 octobre 2007, consid. 4 p. 12 s.; RR.2007.59 du 26 juillet 2007, consid. 2.2.2). Selon la jurisprudence, la coopération n’est refusée que si l’absence de traduction empêche l’autorité de traiter correctement la demande, porte atteinte aux droits de la personne poursuivie ou participe d’un comportement abusif de la part de l’Etat requérant (arrêts du Tribunal fédéral 1A.248/2006 du 1er février 2006, consid. 2.2;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consid. 5.2).</w:t>
      </w:r>
    </w:p>
    <w:p>
      <w:r>
        <w:t>- 6 -</w:t>
      </w:r>
    </w:p>
    <w:p>
      <w:r>
        <w:rPr>
          <w:b/>
        </w:rPr>
        <w:t>E. 2.2</w:t>
      </w:r>
    </w:p>
    <w:p>
      <w:r>
        <w:t>En l'espèce, les traductions accompagnant la demande initiale du 19 août 2009 et son complément du 15 août 2011 ne comportent pas de sceau at- testant de leur caractère "conforme à l'original". Il n'y a cependant pas lieu d'y voir, comme le voudrait le recourant, un motif de refus de l'entraide. En effet, même sans certification conforme de sa traduction, la commission ro- gatoire initiale, de même que son complément, ont pu être exécutés. Le re- courant n'allègue aucunement à cet égard s'être trouvé entravé dans ses droits de défense, ni que les traductions présenteraient des ambiguïtés sur des points particuliers. Ainsi, le refus de l'entraide pour le seul motif de l'absence de certification conforme n'apparaît pas justifié par un intérêt légi- time. Une exception aux exigences formelles de l'art. 28 al. 5 EIMP s'impo- se aussi au regard du principe de la célérité (art. 17a al. 1 EIMP).</w:t>
      </w:r>
    </w:p>
    <w:p>
      <w:r>
        <w:rPr>
          <w:b/>
        </w:rPr>
        <w:t>E. 3</w:t>
      </w:r>
    </w:p>
    <w:p>
      <w:r>
        <w:t>Dans un grief suivant, le recourant se prévaut d’une violation du principe de la double incrimination. Il estime en substance que les faits allégués par la demande d’entraide ne seraient aucunement constitutifs, en droit suisse, de corruption d'agents publics étrangers (art. 322septies CP), d'une part, et que l'art. 23 de la loi fédérale du 19 décembre 1986 sur la concurrence dé- loyale (LCD; RS 241) relatif à la corruption privée ne serait pas applicable au cas d'espèce en raison du principe de la non-rétroactivité prévu à l'art. 2 al. 1 CP, d'autre part (act. 1, p. 10 ss). Il ne saurait partant être question de blanchiment d'argent (ibidem).</w:t>
      </w:r>
    </w:p>
    <w:p>
      <w:r>
        <w:rPr>
          <w:b/>
        </w:rPr>
        <w:t>E. 3.1.1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w:t>
      </w:r>
    </w:p>
    <w:p>
      <w:r>
        <w:t>- 7 -</w:t>
      </w:r>
    </w:p>
    <w:p>
      <w:r>
        <w:t>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consid. 2.1).</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3.2.1</w:t>
      </w:r>
    </w:p>
    <w:p>
      <w:r>
        <w:t>La Cour de céans a, dans le cadre d'une précédente décision rendue en lien avec la présente affaire (arrêt du Tribunal pénal fédéral RR.2010.173 du 13 octobre 2010 cité par le MPC dans son ordonnance d'entrée en ma- tière du 13 septembre 2011 [act. 1.6]), déjà été amenée à se pencher sur la question de la double incrimination. Les constatations y relatives gardent toute leur valeur en l'état, et ce dans la mesure où la requête complémen- taire du 11 août 2011 mentionne expressément que "[l]es délits demeurent les mêmes que ceux indiqués dans la commission rogatoire précédente", d'une part, et que les informations contenues dans ledit complément "de- vraient être lues conjointement avec les faits exposés dans notre commis- sion rogatoire précédente en date du 19 août 2009 et les commissions ro- gatoires complémentaires sur la même affaire", d'autre part (act. 1.5, tra- duction, p. 3).</w:t>
      </w:r>
    </w:p>
    <w:p>
      <w:r>
        <w:t>- 8 -</w:t>
      </w:r>
    </w:p>
    <w:p>
      <w:r>
        <w:rPr>
          <w:b/>
        </w:rPr>
        <w:t>E. 3.2.2</w:t>
      </w:r>
    </w:p>
    <w:p>
      <w:r>
        <w:t>Il ressort de l'état de faits présenté à l’appui de la requête britannique (v. supra let. A) que les autorités de ce pays soupçonnent C., en sa double qualité de membre du conseil d’administration de la société E. et de mem- bre du gouvernement du pays Z., lequel détient 77% des actions de la so- ciété E., d’avoir accepté des sommes d’argent et en contrepartie d'avoir usé de son influence pour favoriser la passation de divers contrats, no- tamment de fourniture d’alumine métallurgique, entre la société E., d’une part, et des sociétés du groupe D., d’autre part, à des conditions défavora- bles pour la société E. Le comportement des personnes soupçonnées au Royaume-Uni consistant à promettre ou à octroyer à C. de tels avantages, en sa qualité de membre du conseil d’administration de la société E., réali- se à première vue les conditions objectives de l’infraction de corruption ac- tive, au sens de l’art. 4a al. 1 let. a LCD mis en relation avec l'art. 23 LCD. Il en va de même des avantages promis ou octroyés au recourant lui-même, alors qu'il occupait des fonctions susceptibles de lui permettre d'influencer la passation des marchés de la société E. La critique du recourant selon laquelle ces dispositions – entrées en vigueur en 2006 – ne seraient pas applicables en l'espèce en raison du principe de la non-rétroactivité (act. 1, p. 11) est infondée, et ce au vu de la jurisprudence selon laquelle une de- mande d'entraide est traitée selon le droit en vigueur au moment où la dé- cision y relative est prononcée (v. arrêt du Tribunal fédéral 1C_249/2008 du 9 juin 2008, consid. 2.3 et la référence à l'ATF 129 II 462 consid. 4.3). Pour le surplus, si les avantages ont été promis ou octroyés à C. en sa qualité de ministre, le comportement décrit ci-dessus correspond prima facie à l’infraction de corruption d’agents publics étrangers au sens de l’art. 322septies CP. Quant aux personnes physiques ou morales qui seraient in- tervenues, au Royaume-Uni, pour acheminer des commissions illicites sur des comptes contrôlés par le recourant, leur comportement consiste à première vue à entraver l’identification de l’origine, la découverte ou la con- fiscation de valeurs patrimoniales provenant d’un crime, soit des actes de blanchiment d'argent au sens de l’art. 305bis CP.</w:t>
      </w:r>
    </w:p>
    <w:p>
      <w:r>
        <w:t>Le grief tiré de la violation du principe de la double incrimination doit partant être rejeté.</w:t>
      </w:r>
    </w:p>
    <w:p>
      <w:r>
        <w:rPr>
          <w:b/>
        </w:rPr>
        <w:t>E. 4</w:t>
      </w:r>
    </w:p>
    <w:p>
      <w:r>
        <w:t>Le recourant se plaint également d'une violation du principe de la propor- tionnalité. Il reproche notamment à l'autorité d'exécution d'être allée au- delà de ce qui était demandé par l'autorité requérante.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w:t>
      </w:r>
    </w:p>
    <w:p>
      <w:r>
        <w:t>- 9 -</w:t>
      </w:r>
    </w:p>
    <w:p>
      <w:r>
        <w:t>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Sur cette base, peuvent aussi être transmis des renseignements et des documents non mentionnés dans la demande (TPF 2009 161 consid. 5.2; arrêts du Tribunal pénal fé- dérla RR.2010.39 du 28 avril 2010, consid. 5.1; RR.2010.8 du 16 avril 2010, consid. 2.2). Enfin, l’entraide vise non seulement à recueillir des preuves à charge, mais également à décharge (arrêt du Tribunal pénal fé- 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w:t>
      </w:r>
    </w:p>
    <w:p>
      <w:r>
        <w:t>- 10 -</w:t>
      </w:r>
    </w:p>
    <w:p>
      <w:r>
        <w:t>même genre (cf. arrêts du Tribunal fédéral 1A.259/2006 du 26 janvier 2007, consid. 2.2; 1A.75/2006 du 20 juin 2006, consid. 3.2; 1A.79/2005 du 27 avril 2005, consid. 4.2; 1A.59/2005 du 26 avril 2005, consid. 6.2).</w:t>
      </w:r>
    </w:p>
    <w:p>
      <w:r>
        <w:rPr>
          <w:b/>
        </w:rPr>
        <w:t>E. 4.2</w:t>
      </w:r>
    </w:p>
    <w:p>
      <w:r>
        <w:t>Comme rappelé plus haut, l’autorité requérante diligente une enquête en lien notamment avec les agissements de B. et C. sous les chefs de corrup- tion d'agents publics, association de malfaiteurs et blanchiment d'argent. Des éléments figurant dans la demande d'entraide et ses compléments, il ressort que le premier ne se serait pas limité à verser des pots-de-vin au second, mais en aurait également versés en faveur du recourant lui-même, lequel aurait, au vu des diverses fonctions occupées au sein notamment d'un Fonds d'investissement détenteur de 20% des actions de la société E., pu influencer la procédure de passation des marchés de cette dernière. L'autorité requérante a mis à jour l'existence de virements importants (env. GBP 3.5 mios) émanant d'une société contrôlée par B. en faveur du recou- rant pour la période 1993-2002. Selon l'autorité requérante, "[i]l n'y avait apparemment aucune raison légitime pour que A. reçût des fonds de la part de B., mais il existe des raisons de penser que ces paiements étaient des pots-de-vin versés par B. à A." (act. 1.5, trad., p. 3).</w:t>
      </w:r>
    </w:p>
    <w:p>
      <w:r>
        <w:t>C'est pour ces motifs que les autorités britanniques s'intéressent notam- ment à la documentation bancaire relative à un compte dont le recourant est le titulaire auprès de la banque F. à Genève, compte sur lequel sont précisément parvenus les montants susmentionnés. Dans ces conditions, force est d’admettre qu’il existe un rapport objectif entre le recourant, res- pectivement le compte litigieux, d’une part, et les infractions faisant l’objet de l’investigation britannique, d’autre part. Le fait que, à ce stade et dans le cadre de la procédure d'entraide, le recourant ne soit pas considéré comme prévenu mais uniquement comme "personne touchée" (v. act. 1.3, p. 1) ne représente pas un obstacle à l’entraide. S’agissant des demandes relatives à des informations bancaires, il convient en effet de transmettre tous les documents qui peuvent avoir trait au soupçon exposé dans la demande d’entraide; il suffit qu’il existe un lien de connexité entre l’état de fait sur le- 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t>- 11 -</w:t>
      </w:r>
    </w:p>
    <w:p>
      <w:r>
        <w:rPr>
          <w:b/>
        </w:rPr>
        <w:t>E. 4.2.1</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de comptes susceptibles, comme en l’espèce, d’avoir reçu le produit d’infractions pénales (corruption d'agent privé en ce qui concerne le recou- rant), l’autorité requérante a intérêt à pouvoir prendre connaissance de la documentation d’ouverture, afin notamment de connaître l’identité de l’ayant droit économique et des signataires autorisés. Elle dispose égale- ment d’un intérêt à être informée de toute transaction susceptible de s’inscrire dans le mécanisme frauduleux mis en place par les personnes sous enquête dans l'Etat requérant.</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w:t>
      </w:r>
    </w:p>
    <w:p>
      <w:r>
        <w:rPr>
          <w:b/>
        </w:rPr>
        <w:t>E. 4.2.2</w:t>
      </w:r>
    </w:p>
    <w:p>
      <w:r>
        <w:t>En l’espèce, l’autorité d’exécution entend transmettre la documentation d’ouverture du compte du recourant, ainsi que des ordres de transferts et relevés de comptes qui y sont liés, de même que les informations relatives aux placements fiduciaires et aux valeurs patrimoniales, et ce de la date d'ouverture du compte (1994) à ce jour, soit une période couvrant celle</w:t>
      </w:r>
    </w:p>
    <w:p>
      <w:r>
        <w:t>- 12 -</w:t>
      </w:r>
    </w:p>
    <w:p>
      <w:r>
        <w:t>pouvant intéresser l'enquête britannique. Sur le vu des considérations qui précèdent, force est de constater que l’autorité d’exécution n’a pas violé le principe de la proportionnalité en interprétant largement la demande d'en- traide britannique (v. supra consid. 4.1) et en autorisant la remise à l'autori- té requérante des informations bancaires relatives au compte du recourant.</w:t>
      </w:r>
    </w:p>
    <w:p>
      <w:r>
        <w:t>Il s’ensuit que le grief tiré de la violation du principe de la proportionnalité n’est pas fondé et doit être rejeté.</w:t>
      </w:r>
    </w:p>
    <w:p>
      <w:r>
        <w:rPr>
          <w:b/>
        </w:rPr>
        <w:t>E. 5</w:t>
      </w:r>
    </w:p>
    <w:p>
      <w:r>
        <w:t>Le recourant allègue encore que l'autorité d'exécution aurait dû répondre à la question de savoir si les faits sous enquête britannique ne seraient pas atteints par la prescription. Il se prévaut ainsi – sans le mentionner expres- sément – de l'art. 5 al. 1 let. c EIMP, à teneur duquel la demande est irre- cevable si son exécution implique des mesures de contrainte et que la prescription absolue empêche, en droit suisse, d'ouvrir une action pénale ou d'exécuter une sanction.</w:t>
      </w:r>
    </w:p>
    <w:p>
      <w:r>
        <w:t>Le grief est manifestement infondé, dans le mesure où le Tribunal fédéral a eu l'occasion de poser le principe selon lequel la question de la prescription n'a pas à être examinée lorsque la demande d'entraide portant sur la re- mise de moyens de preuve émane, comme en l'espèce, d'un Etat partie à la CEEJ (ATF 117 Ib 53 consid. 2).</w:t>
      </w:r>
    </w:p>
    <w:p>
      <w:r>
        <w:rPr>
          <w:b/>
        </w:rPr>
        <w:t>E. 6</w:t>
      </w:r>
    </w:p>
    <w:p>
      <w:r>
        <w:t>Les considérants qui précèdent conduisent au rejet du recours.</w:t>
      </w:r>
    </w:p>
    <w:p>
      <w:r>
        <w:rPr>
          <w:b/>
        </w:rPr>
        <w:t>E. 7</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couverts par l’avance de frais de CHF 5'000.--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