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RR.2012.64 vom 11. Mai 2012</w:t>
      </w:r>
    </w:p>
    <w:p>
      <w:r>
        <w:t>Bundesstrafgericht, 2012-05-11, FR</w:t>
      </w:r>
    </w:p>
    <w:p>
      <w:r>
        <w:rPr>
          <w:b/>
        </w:rPr>
        <w:t xml:space="preserve">Quelle: </w:t>
      </w:r>
      <w:r>
        <w:t>https://mcp.opencaselaw.ch/entscheid/bstger_RR.2012.64</w:t>
      </w:r>
    </w:p>
    <w:p>
      <w:r>
        <w:t>FR: TPF RR.2012.64 du 11 mai 2012</w:t>
      </w:r>
    </w:p>
    <w:p>
      <w:r>
        <w:t>IT: TPF RR.2012.64 del 11 maggio 2012</w:t>
      </w:r>
    </w:p>
    <w:p>
      <w:pPr>
        <w:pStyle w:val="Heading2"/>
      </w:pPr>
      <w:r>
        <w:t>Regeste</w:t>
      </w:r>
    </w:p>
    <w:p>
      <w:r>
        <w:t>Entraide judiciaire internationale en matière pénale à l'Espagne. Remise de moyens de preuve (art. 74 EIMP). Principe de la proportionnalité (consid. 2).</w:t>
      </w:r>
    </w:p>
    <w:p>
      <w:pPr>
        <w:pStyle w:val="Heading2"/>
      </w:pPr>
      <w:r>
        <w:t>Erwägungen</w:t>
      </w:r>
    </w:p>
    <w:p>
      <w:r>
        <w:rPr>
          <w:b/>
        </w:rPr>
        <w:t>E. 1</w:t>
      </w:r>
    </w:p>
    <w:p>
      <w:r>
        <w:t>La Confédération suisse et le Royaume d’Espagne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 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et 39 ch. 2 CBl). L’application de la norme la plus fa- 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Le délai de recours contre la décision de clôture est de 30 jours dès la communication écrite de celle-ci (art. 80k EIMP). Déposé à un bureau de poste suisse le 28 mars 2012, le recours contre la décision notifiée le 27 février 2012 est intervenu en temps utile.</w:t>
      </w:r>
    </w:p>
    <w:p>
      <w:r>
        <w:t>- 4 -</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Revêtant cette qualité s’agissant du compte no 2, A. a qualité pour recourir contre la transmission des pièces s’y rapportant.</w:t>
      </w:r>
    </w:p>
    <w:p>
      <w:r>
        <w:rPr>
          <w:b/>
        </w:rPr>
        <w:t>E. 2</w:t>
      </w:r>
    </w:p>
    <w:p>
      <w:r>
        <w:t>Le recourant invoque comme unique grief une violation du principe de la proportionnalité. Il estime que l’autorité d’exécution n’a pas respecté ledit principe et la jurisprudence y relative en décidant de transmettre l’intégralité de la documentation saisie. A l’appui de son grief, le recourant indique que les quatre ordres de virement de la banque C. ne correspondraient à aucun mouvement de crédit sur son compte, aucune trace de réception, ni de re- tour des fonds n’existant à cet égard (act. 1, p. 9). L’un des ordres de trans- fert sous enquête – soit celui du 31 août 1998 – ne concernerait pas le compte du recourant (ibidem). Ledit recourant, de même que feu son père, seraient pour le surplus totalement étrangers aux faits de la cause évoqués par l’autorité requérante (ibidem).</w:t>
      </w:r>
    </w:p>
    <w:p>
      <w:r>
        <w:rPr>
          <w:b/>
        </w:rPr>
        <w:t>E. 2.1</w:t>
      </w:r>
    </w:p>
    <w:p>
      <w:r>
        <w:t>Selon le principe de la proportionnalité, la question de savoir si les mesures requises sont nécessaires ou simplement utiles à la procédure pénale est en principe laissée à l’appréciation des autorités de poursuite de l’Etat re- 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 de de procéder permet aussi d’éviter d’éventuelles demandes complémen- taires (ATF 121 II 241 consid. 3a; arrêt du Tribunal pénal fédéral</w:t>
      </w:r>
    </w:p>
    <w:p>
      <w:r>
        <w:t>- 5 -</w:t>
      </w:r>
    </w:p>
    <w:p>
      <w:r>
        <w:t>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sociétés et par le biais des comptes impliqués dans l’affaire (ATF 121 II 241 consid. 3c). L’utilité de la documentation bancaire découle du fait que l’autorité requé- 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2.2</w:t>
      </w:r>
    </w:p>
    <w:p>
      <w:r>
        <w:t>En l’espèce, l’autorité requérante enquête sur les agissements de B. (v. supra let. A), soupçonné d’avoir accompli des actes de blanchiment d’argent en profitant notamment de son activité d’employé de banque. Ledit B. aurait ainsi procédé à de nombreux et importants transferts d’argent – provenant du trafic de drogue – à destination de comptes bancaires no- tamment sis en Suisse. Pareils agissements, s’ils devaient être confirmés, tomberaient en droit suisse sous le coup de l’art. 305bis CP réprimant le blanchiment d’argent.</w:t>
      </w:r>
    </w:p>
    <w:p>
      <w:r>
        <w:t>A l’appui de sa demande d’entraide du 23 février 2011, l’autorité requérante indique expressément les numéros des comptes bancaires ouverts en Suisse destinataires d’ordres de virement donnés par B. Annexés à la de- mande d’entraide figurent les documents correspondants de la banque es- pagnole dont émanent les ordres de virements. En annexe 14.3 se trouvent ainsi notamment quatre ordres au bénéfice d’un dénommé «E.», respecti- vement «Monsieur E.». L’un de ces ordres, datant du 31 août 1998, est</w:t>
      </w:r>
    </w:p>
    <w:p>
      <w:r>
        <w:t>- 6 -</w:t>
      </w:r>
    </w:p>
    <w:p>
      <w:r>
        <w:t>donné en faveur du compte no 3 auprès de la banque D. à Genève. Les trois autres, datés des 21 octobre et 5 novembre 1998, ainsi que du 8 jan- vier 1999 le sont en faveur du compte no 2, auprès de la banque D. à Ge- nève. Ce dernier compte s’est révélé être celui dont le recourant est lui- même le titulaire.</w:t>
      </w:r>
    </w:p>
    <w:p>
      <w:r>
        <w:t>Dans ces conditions, force est d’admettre qu’il existe un rapport objectif en- tre le recourant, respectivement le compte litigieux, d’une part, et les infrac- tions faisant l’objet de l’investigation espagnole, d’autre part. A cet égard, le seul fait que le numéro de compte bancaire du recourant figure sur trois or- dres de versement émis par B. suffit à fonder le lien de connexité devant exister entre l’infraction sous enquête en Espagne et la mesure d’entraide requise, sans qu’il soit nécessaire de déterminer si les montants en ques- tion ont été finalement crédités sur ce compte. Quant au fait que les autori- tés espagnoles ne soupçonnent pas le recourant d’avoir commis une in- fraction, il ne constitue pas un obstacle à l’entraide. S’agissant des deman- des relatives à des informations bancaires, il convient en effet de transmet- tre tous les documents qui peuvent avoir trait au soupçon exposé dans la demande d’entraide; il suffit qu’il existe un lien de connexité entre l’état de fait sur lequel porte l’enquête pénale menée par les autorités de l’Etat re- quérant et les documents visés par la remise pour que ceux-ci doivent être transmis.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rPr>
          <w:b/>
        </w:rPr>
        <w:t>E. 2.3</w:t>
      </w:r>
    </w:p>
    <w:p>
      <w:r>
        <w:t>Lorsque la demande vise à éclaircir le cheminement de fonds d’origine dé- lictueuse, il convient en principe d’informer l’Etat requérant de toutes les transactions opérées au nom des sociétés et par le biais des comptes im- pliqués dans l’affaire, même sur une période relativement étendue (ATF 121 II 241 consid. 3c). S’agissant d’un compte susceptible d’avoir joué un rôle dans un mécanisme de blanchiment d’argent, l’autorité requérante a intérêt à pouvoir prendre connaissance de la documentation d’ouverture, afin notamment de connaître l’identité de l’ayant droit économique et des signataires autorisés. Elle dispose également d’un intérêt à être informée de toute transaction qui pourrait s’inscrire dans le mécanisme mis en place par les personnes sous enquête en Espagne.</w:t>
      </w:r>
    </w:p>
    <w:p>
      <w:r>
        <w:rPr>
          <w:b/>
        </w:rPr>
        <w:t>E. 2.4</w:t>
      </w:r>
    </w:p>
    <w:p>
      <w:r>
        <w:t>Certes, il se peut également que le compte litigieux n’ait pas servi à rece- voir le produit d’infractions pénales, ni à opérer des virements illicites ou à</w:t>
      </w:r>
    </w:p>
    <w:p>
      <w:r>
        <w:t>- 7 -</w:t>
      </w:r>
    </w:p>
    <w:p>
      <w:r>
        <w:t>blanchir des fonds. L’autorité requérante n’en dispose pas moins d’un inté- 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internationa- le en matière pénale, 3e éd., Berne 2009, n° 722, p. 673 s.).</w:t>
      </w:r>
    </w:p>
    <w:p>
      <w:r>
        <w:rPr>
          <w:b/>
        </w:rPr>
        <w:t>E. 2.5</w:t>
      </w:r>
    </w:p>
    <w:p>
      <w:r>
        <w:t>En l’espèce, l’autorité d’exécution entend transmettre la documentation d’ouverture du compte du recourant. Sur le vu des considérations qui pré- cèdent, force est de constater que ladite autorité n’a pas violé le principe de la proportionnalité.</w:t>
      </w:r>
    </w:p>
    <w:p>
      <w:r>
        <w:rPr>
          <w:b/>
        </w:rPr>
        <w:t>E. 3</w:t>
      </w:r>
    </w:p>
    <w:p>
      <w:r>
        <w:t>Les considérants qui précèdent conduisent au rejet du recours.</w:t>
      </w:r>
    </w:p>
    <w:p>
      <w:r>
        <w:rPr>
          <w:b/>
        </w:rPr>
        <w:t>E. 4</w:t>
      </w:r>
    </w:p>
    <w:p>
      <w:r>
        <w:t>En règle générale, les frais de procédure comprenant l’émolument d’arrêté, les émoluments de chancellerie et les débours sont mis à la charge de la partie qui succombe (art. 63 al. 1 de la loi fédérale sur la procédure admi- nistrative [PA; RS 172.021]). Le montant de l’émolument est calculé en fonction de l’ampleur et de la difficulté de la cause, de la façon de procéder des parties, de leur situation financière et des frais de chancellerie (art. 73 al. 2 LOAP). Le recourant supportera ainsi les frais du présent arrêt, les- quels sont fixés à CHF 5’000.-- (art. 73 al. 2 LOAP et art. 8 al. 3 du règle- ment du Tribunal pénal fédéral du 31 août 2010 sur les frais, émoluments, dépens, et indemnités de la procédure pénale fédérale [RFPPF; RS 173.713.162] et art. 63 al. 5 PA), couverts par l’avance de frais de CHF 5’000.--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