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RR.2012.60 vom 24. September 2012</w:t>
      </w:r>
    </w:p>
    <w:p>
      <w:r>
        <w:t>Bundesstrafgericht, 2012-09-24, IT</w:t>
      </w:r>
    </w:p>
    <w:p>
      <w:r>
        <w:rPr>
          <w:b/>
        </w:rPr>
        <w:t xml:space="preserve">Quelle: </w:t>
      </w:r>
      <w:r>
        <w:t>https://mcp.opencaselaw.ch/entscheid/bstger_RR.2012.60</w:t>
      </w:r>
    </w:p>
    <w:p>
      <w:r>
        <w:t>FR: TPF RR.2012.60 du 24 septembre 2012</w:t>
      </w:r>
    </w:p>
    <w:p>
      <w:r>
        <w:t>IT: TPF RR.2012.60 del 24 settembre 2012</w:t>
      </w:r>
    </w:p>
    <w:p>
      <w:pPr>
        <w:pStyle w:val="Heading2"/>
      </w:pPr>
      <w:r>
        <w:t>Regeste</w:t>
      </w:r>
    </w:p>
    <w:p>
      <w:r>
        <w:t>Assistenza giudiziaria internationale in materia penale all'Italia. Consegna di mezzi di prova (art. 74 AIMP).</w:t>
      </w:r>
    </w:p>
    <w:p>
      <w:pPr>
        <w:pStyle w:val="Heading2"/>
      </w:pPr>
      <w:r>
        <w:t>Erwägungen</w:t>
      </w:r>
    </w:p>
    <w:p>
      <w:r>
        <w:rPr>
          <w:b/>
        </w:rPr>
        <w:t>E. 1.1</w:t>
      </w:r>
    </w:p>
    <w:p>
      <w:r>
        <w:t>In virtù dell'art. 37 cpv. 2 lett. a della legge federale del 19 marzo 2010 sull' organizzazione delle autorità penali della Confederazione (LOAP; RS 173.71) e 19 cpv. 1 del regolamento del 31 agosto 2010 sull'organizza- zione del Tribunale penale federale (ROTPF; RS 173.713.161; nuovo testo giusta il n. I dell'ordinanza del 23 agosto 2011, in vigore dal 1° gennaio 2012, RU 2011 4495), la Corte dei reclami penali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 re il 12 giugno 1962 per l’Italia ed il 20 marzo 1967 per la Svizzera (CEAG; RS 0.351.1),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Convenzione di applicazione dell'Accordo di Schengen del 14 giugno 1985 (CAS). Di rilievo nella fattispecie è anche la Convenzione sul riciclag- gio, la ricerca, il sequestro e la confisca dei proventi di reato, conclusa a</w:t>
      </w:r>
    </w:p>
    <w:p>
      <w:r>
        <w:t>- 4 -</w:t>
      </w:r>
    </w:p>
    <w:p>
      <w:r>
        <w:t>Strasburgo l’8 novembre 1990, entrata in vigore il 1° settembre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 favore), si applicano la legge federale sull'assistenza internazionale in mate- ria penale del 20 marzo 1981 (AIMP; RS 351.1), unitamente alla relativa or- dinanza (OAIMP; RS 351.11; v. art. 1 cpv. 1 AIMP, art. I n. 2 Accordo italo- svizzero; DTF 136 IV 82 consid. 3.1; 135 IV 212 consid. 2.3; 123 II 134 con- sid. 1a; 122 II 140 consid. 2). Il principio di favore vale anche nell'applicazio- ne delle pertinenti norme di diritto internazionale (v. art. 48 n. 2 CAS, 39 n. 3 CRic e art. I n. 2 Accordo italo svizzero). È fatto salvo il rispetto dei diritti fon- damentali (DTF 135 IV 212 consid. 2.3; 123 II 595 consid. 7c).</w:t>
      </w:r>
    </w:p>
    <w:p>
      <w:r>
        <w:rPr>
          <w:b/>
        </w:rPr>
        <w:t>E. 1.3</w:t>
      </w:r>
    </w:p>
    <w:p>
      <w:r>
        <w:t>Interposto tempestivamente contro la sopraccitata decisione di chiusura dell'autorità cantonale d'esecuzione, congiuntamente alle decisioni incidenta- li anteriori, il ricorso è ricevibile sotto il profilo degli art. 25 cpv. 1, 80e cpv. 1 e 80k AIMP. La legittimazione delle ricorrenti, titolari del conto oggetto dell'avversata misura rogatoriale, è pacifica (v. art. 80h lett. b AIMP e art. 9a lett. a OAIMP; DTF 137 IV 134 consid. 5.2.1; 118 Ib 547 consid. 1d; TPF 2007 79 consid. 1.6).</w:t>
      </w:r>
    </w:p>
    <w:p>
      <w:r>
        <w:rPr>
          <w:b/>
        </w:rPr>
        <w:t>E. 2</w:t>
      </w:r>
    </w:p>
    <w:p>
      <w:r>
        <w:t>Le ricorrenti sostengono innanzitutto che la domanda di assistenza giudizia- ria presenterebbe una carente esposizione del contesto fattuale, in ordine al quale non sarebbe possibile desumere il nesso tra l'attività illecita degli inda- gati e il conto corrente di cui è richiesta la documentazione, difettando qual- siasi elemento concreto, o indizio, a supporto delle richieste formulate.</w:t>
      </w:r>
    </w:p>
    <w:p>
      <w:r>
        <w:rPr>
          <w:b/>
        </w:rPr>
        <w:t>E. 2.1</w:t>
      </w:r>
    </w:p>
    <w:p>
      <w:r>
        <w:t>Gli art. 14 CEAG, 27 n. 1 CRic e 28 AIMP esigono in sostanza che la do- manda di assistenza indichi il suo oggetto, il motivo, la qualificazione giuridi- ca dei reati, presentando altresì un breve esposto dei fatti essenziali, al fine di permettere allo Stato rogato di verificare che non sussistano condizioni ostative all'assistenza (DTF 129 II 97 consid. 3; 118 Ib 111 consid. 5b, 547 consid. 3a; 117 Ib 64 consid. 5c). In questo ambito, non si può tuttavia pre- tendere dallo Stato richiedente la presentazione di un esposto dei fatti total- mente esente da lacune o contraddizioni, visto che lo scopo della rogatoria è proprio quello di chiarire punti oscuri relativi alle fattispecie oggetto d'indagi- ne all'estero, fermo restando che la verifica delle condizioni per la conces- sione dell'assistenza deve rimanere possibile (v. DTF 117 Ib 64 consid. 5c, con giurisprudenza citata). Ciò non implica per lo Stato richiedente l'obbligo di provare la commissione del reato, ma solo quello di esporre in modo suffi- ciente le circostanze sulle quali fonda i propri sospetti, in modo tale da e-</w:t>
      </w:r>
    </w:p>
    <w:p>
      <w:r>
        <w:t>- 5 -</w:t>
      </w:r>
    </w:p>
    <w:p>
      <w:r>
        <w:t>scludere che sussista un'inammissibile ricerca indiscriminata di prove (v. su questo tema DTF 129 II 97 consid. 3.1; 125 II 65 consid. 6b/aa; 122 II 367 consid. 2c). L'esame della colpevolezza è riservato al giudice straniero del merito ed esula dalle competenze di quello svizzero dell'assi- stenza (DTF 113 Ib 276 consid. 3a; 112 Ib 576 consid. 3; sentenza del Tri- bunale federale 1C_562/2011 del 22 dicembre 2011, consid. 1.5).</w:t>
      </w:r>
    </w:p>
    <w:p>
      <w:r>
        <w:rPr>
          <w:b/>
        </w:rPr>
        <w:t>E. 2.2</w:t>
      </w:r>
    </w:p>
    <w:p>
      <w:r>
        <w:t>Nel caso concreto, la commissione rogatoria 12 agosto 2010 presenta in maniera sufficientemente chiara i fatti oggetto dell'indagine all'estero. Dopo aver esposto il contesto fattuale e storico dell'indagine, ricordando altresì la precedente condanna alla pena di un anno di arresto e EUR 600 di ammen- da, per i medesimi fatti, irrogata dal Tribunale di Verbania a tre degli attuali indagati, l'autorità estera espone, citando precisamente numero di conto, nomi di società e di persone fisiche, tutta una serie di dettagli in ordine ai quali intende approfondire aspetti relativi alla destinazione dei fondi provento dell'attività illecita. Le indagini estere hanno in particolare permesso di acqui- sire importanti elementi indiziari a carico degli indagati, facendo luce sulla gestione illegale del gioco d'azzardo all'interno di esercizi pubblici della zona di Z., Y. e X., che di fatto non sarebbe cessata a seguito della precedente condanna, per i medesimi fatti, subita da tra degli attuali indagati, a tutt'oggi ancora dediti a quest'attività.</w:t>
      </w:r>
    </w:p>
    <w:p>
      <w:r>
        <w:t>Con particolare riferimento al conto bancario, del quale vengono forniti preci- si elementi per una sua corretta identificazione, con tanto di numero IBAN e banca depositaria, gli inquirenti nutrono il sospetto che lo stesso possa esse- re stato utilizzato per l'occultamento dei proventi derivanti dall'attività delit- tuosa. Infatti, come emerge a chiare lettere dalla commissione rogatoria, principale finalità delle indagini in corso in Italia è proprio quella relativa alla verifica dell'esistenza di canali d'occultamento degli illeciti profitti realizzati mediante la gestione del gioco d'azzardo, per il quale vi è il sospetto che gli indagati abbiano fatto capo a società estere e al conto bancario in questione.</w:t>
      </w:r>
    </w:p>
    <w:p>
      <w:r>
        <w:t>Nulla muta, rispetto a quanto appena esposto, la circostanza secondo la quale gli inquirenti sarebbero caduti in errore in ordine alla titolarità del conto presso la banca L. SA, da essi segnalato come "riconducibile" a N. Trust. Scopo della presente rogatoria, tra gli altri, è proprio quello di verificare la ti- tolarità di tale relazione bancaria, e la fondatezza delle relative ipotesi inve- stigative, motivo per il quale non si può esigere che l'autorità richiedente già disponesse di tutti le informazioni in merito.</w:t>
      </w:r>
    </w:p>
    <w:p>
      <w:r>
        <w:t>Se ne deve concludere che l'esposto dei fatti è conforme ai principi regolanti la materia, e la censura deve quindi essere respinta.</w:t>
      </w:r>
    </w:p>
    <w:p>
      <w:r>
        <w:t>- 6 -</w:t>
      </w:r>
    </w:p>
    <w:p>
      <w:r>
        <w:rPr>
          <w:b/>
        </w:rPr>
        <w:t>E. 3</w:t>
      </w:r>
    </w:p>
    <w:p>
      <w:r>
        <w:t>A mente delle ricorrenti, i documenti relativi al conto bancario denominato "O." non potrebbero in ogni caso essere trasmessi all'autorità rogante, sic- come privi di ogni potenziale rilevanza per il procedimento estero, anche in considerazione dell'intervenuta prescrizione dell'azione penale all'estero per una parte dei fatti, da cui la richiesta di estromissione di qualsiasi documento anteriore al 30 marzo 2008.</w:t>
      </w:r>
    </w:p>
    <w:p>
      <w:r>
        <w:rPr>
          <w:b/>
        </w:rPr>
        <w:t>E. 3.1</w:t>
      </w:r>
    </w:p>
    <w:p>
      <w:r>
        <w:t>In merito alla rilevanza della documentazione bancaria nell'ambito del proce- dimento all'estero, occorre precisare che la questione di sapere se le infor- mazioni richieste nell'ambito di una domanda di assistenza siano necessarie o utili per il procedimento estero deve essere lasciata, di massima, all'ap- prezzamento delle autorità richiedenti. Lo Stato richiesto non dispone infatti dei mezzi per pronunciarsi sull'opportunità di assumere determinate prove e non può sostituirsi in questo compito all'autorità estera che conduce le inda- gini (DTF 132 II 81 consid. 2.1 e rinvii). La richiesta di assunzione di prove può essere rifiutata solo se il principio della proporzionalità sia manifesta- mente disatteso (DTF 120 Ib 251 consid. 5c; sentenze del Tribunale penale federale RR.2008.154-157 dell’11 settembre 2008, consid. 3.1; RR.2007.18 del 21 maggio 2007, consid. 6.3) o se la domanda appaia abusiva, le infor- mazioni richieste essendo del tutto inidonee a far progredire le indagini (DTF 122 II 134 consid. 7b; 121 II 241 consid. 3a). In base alla giurispruden- za l'esame va quindi limitato alla cosiddetta utilità potenziale, motivo per cui la consegna giusta l'art. 74 AIMP è esclusa soltanto per quei mezzi di prova certamente privi di rilevanza per il procedimento penale all'estero (DTF 126 II 258 consid. 9c; 122 II 367 consid. 2c; 121 II 241 consid. 3a e b).</w:t>
      </w:r>
    </w:p>
    <w:p>
      <w:r>
        <w:rPr>
          <w:b/>
        </w:rPr>
        <w:t>E. 3.2</w:t>
      </w:r>
    </w:p>
    <w:p>
      <w:r>
        <w:t>Nel caso concreto, la documentazione bancaria del conto intestato alle ricor- renti non può certo considerarsi come del tutto priva di rilevanza nell'ottica del procedimento estero. Gli inquirenti esteri, sulla base dei risultati delle in- dagini sinora condotte, nutrono il sospetto che tale conto bancario sia stato utilizzato per l'occultamento degli illeciti profitti. Le ricorrenti, titolari della re- lazione bancaria, ancorché non indagate all'estero, vengono segnalate espressamente nella commissione rogatoria come soggetti di potenziale in- teresse per l'autorità rogante e, circostanza ancora più importante e retta- mente riportata anche dall'autorità d'esecuzione, C., uno degli indagati nell'ambito del procedimento penale estero, dispone(va) di procura generale sul predetto conto. In siffatte condizioni, e considerato lo stadio delle indagini e le finalità investigative intese ad accertare il destino dei fondi provento dell'illecita attività, la documentazione bancaria del conto intestato alle ricor- renti appare idonea a far progredire le indagini, e come tale deve essere tra- smessa all'autorità rogante.</w:t>
      </w:r>
    </w:p>
    <w:p>
      <w:r>
        <w:t>- 7 -</w:t>
      </w:r>
    </w:p>
    <w:p>
      <w:r>
        <w:t>Occorre ancora osservare che il MP-TI, motu proprio, ha deciso di trasmette- re la documentazione relativa al conto "O.", riferita al solo periodo 01.01.2006 – 30.11.2009, ciò che denota un agire mirato dell'autorità d'ese- cuzione e rispettoso del principio di proporzionalità. La richiesta di esclusione della documentazione relativa agli 2003, 2004 e 2005, come formulata nell'argomentazione del gravame, è dunque estranea allo stesso oggetto liti- gioso, per cui cade palesemente nel vuoto.</w:t>
      </w:r>
    </w:p>
    <w:p>
      <w:r>
        <w:rPr>
          <w:b/>
        </w:rPr>
        <w:t>E. 3.3</w:t>
      </w:r>
    </w:p>
    <w:p>
      <w:r>
        <w:t>Circa la richiesta di estromissione di qualsiasi documento anteriore al 30 marzo 2008, occorre osservare che l'apprezzamento, e eventuale valen- za, delle prove nel contesto del procedimento estero esula dalla presente procedura, e la questione dovrà essere risolta dalle autorità italiane (v. DTF 121 II 241 consid. 2b).</w:t>
      </w:r>
    </w:p>
    <w:p>
      <w:r>
        <w:t>Inoltre, le ricorrenti omettono di considerare che la risposta alla domanda se l’azione penale sia estinta nello Stato rogante non incombe allo Stato rogato bensì alle competenti autorità del primo (sentenza 1A.153/2006 del 29 ottobre 2007, consid. 3.9). Le insorgenti disattendono altresì che, in base a consolidata giurisprudenza, nel quadro dell'assistenza giudiziaria interna- zionale regolata dalla CEAG, non occorre esaminare la questione della pre- scrizione, qualora si tratti, come in concreto, della trasmissione di mezzi di prova (v. art. 3 n. 1 CEAG). Infatti, diversamente dalla Convenzione europea di estradizione (v. art. 10 CEEstr; RS 0.353.1), la CEAG, che prevale sull’art.</w:t>
      </w:r>
    </w:p>
    <w:p>
      <w:r>
        <w:rPr>
          <w:b/>
        </w:rPr>
        <w:t>E. 5</w:t>
      </w:r>
    </w:p>
    <w:p>
      <w:r>
        <w:t>cpv. 1 lett. c AIMP non contiene disposizioni che escludono la concessione dell’assistenza per intervenuta prescrizione dell’azione penale. Trattasi di si- lenzio qualificato e non di lacuna colmabile mediante interpretazione (DTF 118 Ib 266 consid. 4b/bb pag. 268; 117 Ib 53 consid. 3; sentenza del Tribunale federale 1A_227/2006 del 22 febbraio 2007, consid.3.3). Per di più, la prescrizione può essere invocata dalla persona perseguita, ma non da terzi, come nel caso specifico entrambe le ricorrenti, non indagate nell'ambi- to del procedimento estero, non tutelati da questa disciplina (DTF 130 II 217 consid. 11.1 pag. 234; sentenza del Tribunale federale 1A.153/2006 del 29 ottobre 2007, consid. 3.9).</w:t>
      </w:r>
    </w:p>
    <w:p>
      <w:r>
        <w:t>La relativa censura deve quindi essere respinta, così come la richiesta delle ricorrenti in merito all'allestimento di una specifica perizia intesa ad accertare l'effettiva o meno intervenuta prescrizione dell'azione penale in Italia, o in via subordinata di interpellare l'autorità rogante su tale aspetto. In primo luogo, come visto, le ricorrenti non figurano tra le persone indagate in Italia, e quindi non sono legittimate a prevalersi dell'istituto della prescrizione, e in secondo luogo, stando a quanto asserito dalle stesse ricorrenti, la prescrizione sareb- be intervenuta solo per una parte dei fatti, motivo per il quale il perseguimen- to degli eventuali reati commessi, senza entrare nel merito della colpevolez-</w:t>
      </w:r>
    </w:p>
    <w:p>
      <w:r>
        <w:t>- 8 -</w:t>
      </w:r>
    </w:p>
    <w:p>
      <w:r>
        <w:t>za degli indagati - esame che esula dal contesto della presente procedura – non sarebbe escluso nel suo insieme, e la trasmissione dei mezzi di prova non può dunque essere negata. Sarà compito della Procura della Repubblica presso il Tribunale di Verbania, una volta in possesso di tutti gli elementi probatori, valutarne la loro rilevanza anche con riferimento alla questione della prescrizione.</w:t>
      </w:r>
    </w:p>
    <w:p>
      <w:r>
        <w:t>4. In conclusione, alla luce di tutto quanto esposto, nella misura della sua am- missibilità, il ricorso deve essere respinto. Le spese seguono la soccomben- za (v. art. 63 cpv. 1 della legge federale sulla procedura amministrativa del 20 dicembre 1968 [PA; RS 172.021] richiamato l'art. 39 cpv. 2 lett. b LOAP). La tassa di giustizia è calcolata giusta l'art. 73 cpv. 2 LOAP, 63 cpv. 4bis PA, nonché 5 e 8 del regolamento del 31 agosto 2010 sulle spese, gli emolumen- ti, le ripetibili e le indennità della procedura penale federale (RSPPF; RS 173.713.162), ed è fissata nella fattispecie a fr. 6'000.--; essa è coperta dall'anticipo delle spese già versato.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