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RR.2012.58 vom 24. September 2012</w:t>
      </w:r>
    </w:p>
    <w:p>
      <w:r>
        <w:t>Bundesstrafgericht, 2012-09-24, IT</w:t>
      </w:r>
    </w:p>
    <w:p>
      <w:r>
        <w:rPr>
          <w:b/>
        </w:rPr>
        <w:t xml:space="preserve">Quelle: </w:t>
      </w:r>
      <w:r>
        <w:t>https://mcp.opencaselaw.ch/entscheid/bstger_RR.2012.58</w:t>
      </w:r>
    </w:p>
    <w:p>
      <w:r>
        <w:t>FR: TPF RR.2012.58 du 24 septembre 2012</w:t>
      </w:r>
    </w:p>
    <w:p>
      <w:r>
        <w:t>IT: TPF RR.2012.58 del 24 settembre 2012</w:t>
      </w:r>
    </w:p>
    <w:p>
      <w:pPr>
        <w:pStyle w:val="Heading2"/>
      </w:pPr>
      <w:r>
        <w:t>Regeste</w:t>
      </w:r>
    </w:p>
    <w:p>
      <w:r>
        <w:t>Assistenza giudiziaria internationale in materia penale all'Italia. Consegna di mezzi di prova (art. 74 AIMP).</w:t>
      </w:r>
    </w:p>
    <w:p>
      <w:pPr>
        <w:pStyle w:val="Heading2"/>
      </w:pPr>
      <w:r>
        <w:t>Erwägungen</w:t>
      </w:r>
    </w:p>
    <w:p>
      <w:r>
        <w:rPr>
          <w:b/>
        </w:rPr>
        <w:t>E. 1</w:t>
      </w:r>
    </w:p>
    <w:p>
      <w:r>
        <w:t>In virtù dell'art. 37 cpv. 2 lett. a della legge federale del 19 marzo 2010 sull'organizzazione delle autorità penali della Confederazione (LOAP; RS 173.71) e 19 cpv. 1 del regolamento del 31 agosto 2010 sull'organizza- zione del Tribunale penale federale (ROTPF; RS 173.713.161; nuovo testo giusta il n. I dell'ordinanza del 23 agosto 2011, in vigore dal 1° gennaio 2012, RU 2011 4495), la Corte dei reclami penali giudica i gravami in materia di assistenza giudiziaria internazionale.</w:t>
      </w:r>
    </w:p>
    <w:p>
      <w:r>
        <w:rPr>
          <w:b/>
        </w:rPr>
        <w:t>E. 1.1</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w:t>
      </w:r>
    </w:p>
    <w:p>
      <w:r>
        <w:t>- 4 -</w:t>
      </w:r>
    </w:p>
    <w:p>
      <w:r>
        <w:t>della Convenzione di applicazione dell'Accordo di Schengen del 14 giugno 1985 (CAS). Di rilievo nella fattispecie è anche la Convenzione sul riciclag- 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 ria penale del 20 marzo 1981 (AIMP; RS 351.1), unitamente alla relativa or- dinanza (OAIMP; RS 351.11; v. art. 1 cpv. 1 AIMP, art. I n. 2 Accordo italo- svizzero; DTF 136 IV 82 consid. 3.1; 135 IV 212 consid. 2.3; 123 II 134 con- sid. 1a; 122 II 140 consid. 2). Il principio di favore vale anche nell'applicazio- ne delle pertinenti norme di diritto internazionale (v. art. 48 n. 2 CAS, 39 n. 3 CRic e art. I n. 2 Accordo italo svizzero). È fatto salvo il rispetto dei diritti fon- damentali (DTF 135 IV 212 consid. 2.3; 123 II 595 consid. 7c).</w:t>
      </w:r>
    </w:p>
    <w:p>
      <w:r>
        <w:rPr>
          <w:b/>
        </w:rPr>
        <w:t>E. 1.2</w:t>
      </w:r>
    </w:p>
    <w:p>
      <w:r>
        <w:t>La ricevibilità del gravame presuppone la legittimazione a ricorrere delle in- sorgenti giusta l’art. 80h AIMP. In base a quest’ultima disposizione, oltre all’UFG (art. 80h lett. a AIMP), ha diritto di ricorrere chiunque è toccato per- sonalmente e direttamente da una misura d’assistenza giudiziaria e ha un in- 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 mente e direttamente toccato da una misura di assistenza giudiziaria inter- nazionale, il ricorrente deve avere un legame sufficientemente stretto con la decisione litigiosa (DTF 123 II 161 consid. 1 d/aa). Più concretamente, nel caso di una richiesta d’informazioni su un conto bancario è considerato per- sonalmente e direttamente toccato il titolare del conto (v. art. 9a lett. a OAIMP; DTF 118 Ib 547 consid. 1d), così come nelle perquisizioni domiciliari questa qualità spetta al proprietario o al locatario (v. art. 9a lett. b OAIMP).</w:t>
      </w:r>
    </w:p>
    <w:p>
      <w:r>
        <w:rPr>
          <w:b/>
        </w:rPr>
        <w:t>E. 1.3</w:t>
      </w:r>
    </w:p>
    <w:p>
      <w:r>
        <w:t>Nel caso in esame, occorre preliminarmente distinguere la posizione della ricorrente A. da quella di B. SA. A., infatti, non è né titolare del conto banca- rio acceso presso la banca L. SA, né detentrice dei documenti oggetto del dispositivo 2b della decisione impugnata, siccome gli stessi sono stati rinve- nuti a seguito di una perquisizione effettuata presso i locali della società B. SA, unica legittimata, dunque, ad aggravarsi contro una loro trasmissione all'autorità rogante. Il ricorso di A., in quanto rivolto alla consegna di docu- mentazione detenuta da B. SA è dunque irricevibile. La legittimazione attiva di A. non può peraltro discendere neanche dal fatto che l'autorità rogata ab- bia disposto la trasmissione del suo casellario giudiziale, in quanto documen-</w:t>
      </w:r>
    </w:p>
    <w:p>
      <w:r>
        <w:t>- 5 -</w:t>
      </w:r>
    </w:p>
    <w:p>
      <w:r>
        <w:t>to che non è stato ottenuto direttamente presso di lei e la cui consegna è in sostanza equiparabile alle forme di collaborazione di polizia, per le quali la giurisprudenza esclude la necessità di avviare formali domande di assisten- za giudiziaria (v. DTF 133 IV 271 consid. 2.4 e 2.5).</w:t>
      </w:r>
    </w:p>
    <w:p>
      <w:r>
        <w:rPr>
          <w:b/>
        </w:rPr>
        <w:t>E. 2</w:t>
      </w:r>
    </w:p>
    <w:p>
      <w:r>
        <w:t>Prima di addentrarsi nel merito delle singole censure sollevate nel gravame, occorre rilevare che le ricorrenti chiedono, tra i vari mezzi di prova offerti, l'in- terrogatorio della stessa A. nonché l'audizione testimoniale del di lei marito, signor P., senza tuttavia specificare ulteriormente la rilevanza di tali mezzi probatori nel contesto della presente procedura.</w:t>
      </w:r>
    </w:p>
    <w:p>
      <w:r>
        <w:rPr>
          <w:b/>
        </w:rPr>
        <w:t>E. 2.1</w:t>
      </w:r>
    </w:p>
    <w:p>
      <w:r>
        <w:t>Per costante giurisprudenza, il diritto di essere sentito sancito all’art. 29 cpv. 2 Cost. comprende anche – pur valendo nella procedura amministrativa, di regola, il principio inquisitorio – la facoltà per l’interessato di offrire mezzi di prova su punti rilevanti e di partecipare alla loro assunzione, o perlomeno di potersi esprimere sui risultati, in quanto possano influire sul giudizio (DTF 129 II 497 consid. 2.2 e riferimenti). Tale garanzia non impedisce tutta- via all’autorità in causa di procedere ad un apprezzamento anticipato delle prove richieste, se è convinta che esse non potrebbero condurla a modificare la sua opinione (cfr. art. 33 PA; DTF 124 I 203 consid. 4a; 122 V 157 consid. 1d; 122 II 464 consid. 4a; 120 Ib 224 consid. 2b; sentenza del Tribunale pe- nale federale RR.2010.132 del</w:t>
      </w:r>
    </w:p>
    <w:p>
      <w:r>
        <w:rPr>
          <w:b/>
        </w:rPr>
        <w:t>E. 4</w:t>
      </w:r>
    </w:p>
    <w:p>
      <w:r>
        <w:t>La ricorrente sostiene inoltre che dalle richieste formulate dall'autorità estera, e riprese nella decisione di entrata in materia del MP-TI, non emergerebbe con sufficiente chiarezza il legame tra il conto bancario presso la banca L. SA, e di conseguenza di tutta la documentazione connessavi, e l'asserita attività illecita posta in essere dagli indagati, censurando così, in sostanza, una carente esposizione dei fatti ad opera dell'autorità rogante e contestuale assenza del requisito dell'utilità potenziale quo alla documentazione da tra- smettere all'autorità italiana. In sostanza, a mente delle ricorrenti, la doman- da di assistenza giudiziaria presentata alla Svizzera integrerebbe gli estremi di una fishing expedition.</w:t>
      </w:r>
    </w:p>
    <w:p>
      <w:r>
        <w:rPr>
          <w:b/>
        </w:rPr>
        <w:t>E. 4.1</w:t>
      </w:r>
    </w:p>
    <w:p>
      <w:r>
        <w:t>Giova in tal senso ricordare che gli art. 14 CEAG, 27 n. 1 CRic e 28 AIMP esigono in sostanza che la domanda di assistenza indichi il suo oggetto, il motivo, la qualificazione giuridica dei reati, presentando altresì un breve e- sposto dei fatti essenziali, al fine di permettere allo Stato rogato di verificare che non sussistano condizioni ostative all'assistenza (DTF 129 II 97 con- sid. 3; 118 Ib 111 consid. 5b, 547 consid. 3a; 117 Ib 64 consid. 5c). In questo ambito, non si può tuttavia pretendere dallo Stato richiedente la presentazio- ne di un esposto dei fatti totalmente esente da lacune o contraddizioni, visto che lo scopo della rogatoria è proprio quello di chiarire punti oscuri relativi al- le fattispecie oggetto d'indagine all'estero, fermo restando che la verifica del- 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 discriminata di prove (v. su questo tema DTF 129 II 97 consid. 3.1; 125 II 65 consid. 6b/aa; 122 II 367 consid. 2c). L'esame della colpevolezza è riservato al giudice straniero del merito ed esula dalle competenze di quello svizzero dell'assistenza (DTF 113 Ib 276 consid. 3a; 112 Ib 576 consid. 3; sentenza del Tribunale federale 1C_562/2011 del 22 dicembre 2011, consid. 1.5)</w:t>
      </w:r>
    </w:p>
    <w:p>
      <w:r>
        <w:rPr>
          <w:b/>
        </w:rPr>
        <w:t>E. 4.2</w:t>
      </w:r>
    </w:p>
    <w:p>
      <w:r>
        <w:t>Nel caso concreto, la commissione rogatoria 12 agosto 2010 presenta in maniera sufficientemente chiara i fatti oggetto dell'indagine all'estero. Dopo aver esposto il contesto fattuale e storico dell'indagine, ricordando altresì la precedente condanna alla pena di un anno di arresto e EUR 600 di ammen- da, per i medesimi fatti, irrogata dal Tribunale di Verbania a tre degli attuali</w:t>
      </w:r>
    </w:p>
    <w:p>
      <w:r>
        <w:t>- 9 -</w:t>
      </w:r>
    </w:p>
    <w:p>
      <w:r>
        <w:t>indagati, l'autorità estera espone, citando precisamente numero di conto, nomi di società e di persone fisiche, tutta una serie di dettagli in ordine ai quali intende approfondire aspetti relativi alla destinazione dei fondi provento dell'attività illecita. Le indagini estere hanno in particolare permesso di acqui- sire importanti elementi indiziari a carico degli indagati, facendo luce sulla gestione illegale del gioco d'azzardo all'interno di esercizi pubblici della zona di Z., Y. e X., che di fatto non sarebbe cessata a seguito della precedente condanna, per i medesimi fatti, subita da tra degli attuali indagati, a tutt'oggi ancora dediti a quest'attività.</w:t>
      </w:r>
    </w:p>
    <w:p>
      <w:r>
        <w:t>La commissione rogatoria presentata dagli inquirenti esteri, avuto particolare riguardo ai dettagli forniti, quali l'indicazione esatta di società apparentemen- te utilizzate per l'occultamento dei proventi, di persone fisiche e di un conto bancario, allo stato delle indagini, al contesto storico con particolare riferi- mento al proseguimento dell'attività delittuosa da parte degli indagati, quindi potenzialmente recidivi, non appare tale da configurare un'inammissibile e indiscriminata ricerca di prove.</w:t>
      </w:r>
    </w:p>
    <w:p>
      <w:r>
        <w:rPr>
          <w:b/>
        </w:rPr>
        <w:t>E. 4.3</w:t>
      </w:r>
    </w:p>
    <w:p>
      <w:r>
        <w:t>In merito alla potenziale utilità che tali mezzi di prova potrebbero rivestire nell'ambito del procedimento estero occorre precisare che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 terminate prove e non può sostituirsi in questo compito all'autorità estera che conduce le indagini (DTF 132 II 81 consid. 2.1 e rinvii). La richiesta di assun- zione di prove può essere rifiutata solo se il principio della proporzionalità sia manifestamente disatteso (DTF 120 Ib 251 consid. 5c; sentenze del Tribuna- le penale federale RR.2008.154-157 dell’11 settembre 2008, consid. 3.1; RR.2007.18 del 21 maggio 2007, consid. 6.3) o se la domanda appaia abu- siva, le informazioni richieste essendo del tutto inidonee a far progredire le indagini (DTF 122 II 134 consid. 7b; 121 II 241 consid. 3a). In base alla giuri- sprudenza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w:t>
      </w:r>
    </w:p>
    <w:p>
      <w:r>
        <w:t>Nella presente fattispecie, il criterio dell'utilità potenziale è certamente dato e la domanda di assistenza estera non viola il principio della proporzionalità. Infatti, la documentazione di cui viene ordinata la trasmissione all'autorità e- stera è in stretto legame con quanto richiesto, trattandosi di documenti relati- vi a persone fisiche e/o giuridiche espressamente menzionate nella commis- sione rogatoria e sospettate di aver funto da tramite per l'occultamento dei proventi. Tali documenti possono essere del resto idonei a far progredire le</w:t>
      </w:r>
    </w:p>
    <w:p>
      <w:r>
        <w:t>- 10 -</w:t>
      </w:r>
    </w:p>
    <w:p>
      <w:r>
        <w:t>indagini, poiché atti a permettere agli inquirenti esteri di verificare la fonda- tezza delle ipotesi investigative quo al destino degli illeciti proventi. Spetterà poi eventualmente al giudice estero del merito valutarne la loro rilevanza sot- to il profilo della responsabilità penale in capo agli indagati. In aggiunta, de- vesi rilevare che la documentazione oggetto del dispositivo 2b della decisio- ne impugnata è stata oggetto di accurata cernita, peraltro in presenza della ricorrente, il MP-TI avendo disposto la trasmissione all'estero solo di quei documenti in stretta relazione con quanto richiesto, ciò che esclude a mag- gior ragione un'eventuale lesione del principio della proporzionalità.</w:t>
      </w:r>
    </w:p>
    <w:p>
      <w:r>
        <w:rPr>
          <w:b/>
        </w:rPr>
        <w:t>E. 5</w:t>
      </w:r>
    </w:p>
    <w:p>
      <w:r>
        <w:t>La ricorrente sostiene che ulteriore motivo per rifiutare l'assistenza giudizia- ria sarebbe l'intervenuta prescrizione dell'azione penale all'estero per una parte dei fatti in questione, motivo per cui chiede in particolare l'estromissio- ne di tutti i documenti precedenti al 23 marzo 2008.</w:t>
      </w:r>
    </w:p>
    <w:p>
      <w:r>
        <w:t>Al proposito, va rilevato che l'apprezzamento, e eventuale valenza, delle prove nel contesto del procedimento estero esula dalla presente procedura, e la questione dovrà essere risolta dalle autorità italiane (v. DTF 121 II 241 consid. 2b).</w:t>
      </w:r>
    </w:p>
    <w:p>
      <w:r>
        <w:t>Inoltre, la ricorrente omette di considerare che la risposta alla domanda se l’azione penale sia estinta nello Stato rogante non incombe allo Stato rogato bensì alle competenti autorità del primo (sentenza 1A.153/2006 del 29 otto- bre 2007, consid. 3.9). L'insorgente disattende altresì che, in base a consoli- data giurisprudenza, nel quadro dell'assistenza giudiziaria internazionale re- golata dalla CEAG, non occorre esaminare la questione della prescrizione, qualora si tratti, come in concreto, della trasmissione di mezzi di prova (v. art. 3 n. 1 CEAG). Infatti, diversamente dalla Convenzione europea di e- stradizione (v. art. 10 CEEstr; RS 0.353.1), la CEAG, che prevale sull’art. 5 cpv. 1 lett. c AIMP non contiene disposizioni che escludono la concessione dell’assistenza per intervenuta prescrizione dell’azione penale. Trattasi di si- lenzio qualificato e non di lacuna colmabile mediante interpretazione (DTF 118 Ib 266 consid. 4b/bb pag. 268; 117 Ib 53 consid. 3; sentenza del Tribunale federale 1A_227/2006 del 22 febbraio 2007, consid.3.3). Per di più, la prescrizione può essere invocata dalla persona perseguita, ma non da terzi, come nel caso specifico la ricorrente in quanto non indagata nell'ambito del procedimento estero, non tutelati da questa disciplina (DTF 130 II 217 consid. 11.1 pag. 234; sentenza del Tribunale federale 1A.153/2006 del 29 ottobre 2007, consid. 3.9).</w:t>
      </w:r>
    </w:p>
    <w:p>
      <w:r>
        <w:t>Ne discende che la relativa censura deve essere respinta.</w:t>
      </w:r>
    </w:p>
    <w:p>
      <w:r>
        <w:t>- 11 -</w:t>
      </w:r>
    </w:p>
    <w:p>
      <w:r>
        <w:rPr>
          <w:b/>
        </w:rPr>
        <w:t>E. 6</w:t>
      </w:r>
    </w:p>
    <w:p>
      <w:r>
        <w:t>In conclusione, sulla scorta di tutto quanto precede, il ricorso deve essere respinto in misura della sua ricevibilità. Le spese seguono la soccombenza (v. art. 63 cpv. 1 della legge federale sulla procedura amministrativa del 20 dicembre 1968 [PA; RS 172.021] richiamato l'art. 39 cpv. 2 lett. b LOAP). La tassa di giustizia è calcolata giusta l'art. 73 cpv. 2 LOAP, 63 cpv. 4bis PA, nonché 5 e 8 del regolamento del 31 agosto 2010 sulle spese, gli emolumen- ti, le ripetibili e le indennità della procedura penale federale (RSPPF; RS 173.713.162), ed è fissata nella fattispecie a fr. 6'000.--;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