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RR.2012.49 vom 23. Mai 2012</w:t>
      </w:r>
    </w:p>
    <w:p>
      <w:r>
        <w:t>Bundesstrafgericht, 2012-05-23, DE</w:t>
      </w:r>
    </w:p>
    <w:p>
      <w:r>
        <w:rPr>
          <w:b/>
        </w:rPr>
        <w:t xml:space="preserve">Quelle: </w:t>
      </w:r>
      <w:r>
        <w:t>https://mcp.opencaselaw.ch/entscheid/bstger_RR.2012.49</w:t>
      </w:r>
    </w:p>
    <w:p>
      <w:r>
        <w:t>FR: TPF RR.2012.49 du 23 mai 2012</w:t>
      </w:r>
    </w:p>
    <w:p>
      <w:r>
        <w:t>IT: TPF RR.2012.49 del 23 maggio 2012</w:t>
      </w:r>
    </w:p>
    <w:p>
      <w:pPr>
        <w:pStyle w:val="Heading2"/>
      </w:pPr>
      <w:r>
        <w:t>Regeste</w:t>
      </w:r>
    </w:p>
    <w:p>
      <w:r>
        <w:t>Auslieferung an die Republik Kosovo. Einrede des politischen Delikts (Art. 55 Abs. 2 IRSG).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April 2006, E. 6.1; RR.2007.13 vom 5. März 2007, E. 5.1); die Beschwerde- kammer eine Partei, die nicht über die erforderlichen Mittel verfügt, auf Antrag von der Bezahlung der Verfahrenskosten befreit, sofern ihr Begehren nicht aussichtslos erscheint (Art. 65 Abs. 1 VwVG i.V.m. Art. 39 Abs. 2 lit. b StBOG), und dieser einen Anwalt bestellt, wenn dies zur Wahrung ihrer Rechte notwendig ist (Art. 65 Abs. 2 VwVG i.V.m. Art. 39 Abs. 2 StBOG);</w:t>
      </w:r>
    </w:p>
    <w:p>
      <w:r>
        <w:t>- die Auslieferung gemäss Art. 2 lit. b i.V.m. lit. c IRSG nicht bewilligt wird, wenn der ersuchte Staat ernstliche Gründe hat anzunehmen, dass das Auslieferungsersu- chen wegen einer nach gemeinem Recht strafbaren Handlung gestellt worden ist, um eine Person aus rassistischen, religiösen, nationalen oder auf politischen An- schauungen beruhenden Erwägungen zu verfolgen oder zu bestrafen, oder dass die verfolgte Person der Gefahr einer Erschwerung ihrer Lage aus einem dieser Gründe ausgesetzt wäre;</w:t>
      </w:r>
    </w:p>
    <w:p>
      <w:r>
        <w:t>- es nicht genügt, dass die Person, deren Auslieferung verlangt wird, behauptet, auf- grund einer besonderen rechtspolitischen Lage bedroht zu sein; sie muss vielmehr in glaubhafter Weise darlegen, inwiefern ernsthafte und objektive Risiken einer ver- botenen Diskriminierung bestehen sowie konkret aufzeigen, dass die strafrechtliche Verfolgung nur vorgeschoben und in Wirklichkeit politisch motiviert ist (BGE 132 II 469 E. 2.4; 129 II 268 E. 6.3);</w:t>
      </w:r>
    </w:p>
    <w:p>
      <w:r>
        <w:t>- der Antragsgegner bei der Vorinstanz hinsichtlich des politischen Deliktes ausführ- te, serbisch-stämmige Kosovoalbaner würden auf dem Gebiet der Republik Kosovo unterdrückt, verfolgt und benachteiligt (act. 1.12, S. 4), sowie er sei Opfer der koso- varischen politischen Verschwörung gegen die serbische Bevölkerung (act. 1.12, S. 5);</w:t>
      </w:r>
    </w:p>
    <w:p>
      <w:r>
        <w:t>- andere Gründe, die auf ein Auslieferungshindernis i.S.v. Art. 2 lit. b IRSG hindeuten nicht ersichtlich sind (vgl. act. 1.12);</w:t>
      </w:r>
    </w:p>
    <w:p>
      <w:r>
        <w:t>- sich damit die Einrede des politischen Delikts nach summarischer Prüfung als aus- sichtslos erwiesen hätte;</w:t>
      </w:r>
    </w:p>
    <w:p>
      <w:r>
        <w:t>- nach dem Gesagten das Gesuch des Antragsgegners um unentgeltliche Rechts- pflege und Verbeiständung aufgrund Aussichtslosigkeit der Einrede des politischen Delikts abzuweisen ist;</w:t>
      </w:r>
    </w:p>
    <w:p>
      <w:r>
        <w:t>- der Antragsgegner, der in die Auslieferung einwilligt und damit sinngemäss seine Einrede zurückzieht, grundsätzlich als unterliegende Partei zu gelten und folglich gemäss Art. 63 Abs. 1 VwVG i.V.m. Art. 39 Abs. 2 StBOG die Gerichtskosten zu tragen hat;</w:t>
      </w:r>
    </w:p>
    <w:p>
      <w:r>
        <w:t>- für die Berechnung der Gerichtsgebühren das Reglement des Bundesstrafgerichts vom 31. August 2010 über die Kosten, Gebühren und Entschädigungen in Bundes- strafverfahren (BStKR; SR 173.713.162) zur Anwendung gelangt (Art. 63 Abs. 5 VwVG i.V.m. Art. 73 Abs. 1 StBOG); unter Berücksichtigung aller Umstände die Gerichtsgebühr auf Fr. 300.-- anzusetzen ist (vgl. Art. 5 und Art. 8 Abs. 3 des Reg- lements).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