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RR.2012.48 vom 26. April 2012</w:t>
      </w:r>
    </w:p>
    <w:p>
      <w:r>
        <w:t>Bundesstrafgericht, 2012-04-26, DE</w:t>
      </w:r>
    </w:p>
    <w:p>
      <w:r>
        <w:rPr>
          <w:b/>
        </w:rPr>
        <w:t xml:space="preserve">Quelle: </w:t>
      </w:r>
      <w:r>
        <w:t>https://mcp.opencaselaw.ch/entscheid/bstger_RR.2012.48</w:t>
      </w:r>
    </w:p>
    <w:p>
      <w:r>
        <w:t>FR: TPF RR.2012.48 du 26 avril 2012</w:t>
      </w:r>
    </w:p>
    <w:p>
      <w:r>
        <w:t>IT: TPF RR.2012.48 del 26 aprile 2012</w:t>
      </w:r>
    </w:p>
    <w:p>
      <w:pPr>
        <w:pStyle w:val="Heading2"/>
      </w:pPr>
      <w:r>
        <w:t>Regeste</w:t>
      </w:r>
    </w:p>
    <w:p>
      <w:r>
        <w:t>Auslieferung an Deutschland. Beschwerde gegen Auslieferungsentscheid (Art. 55 IRSG); unentgeltliche Rechtspflege (Art. 65 Abs. 1 und 2 VwVG).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136 IV 82 E. 3.1; 129 II 462 E. 1.1 S. 464 und 122 I 140 E. 2 S. 142). Vorbehalten bleibt die Wahrung der Menschenrechte (BGE 135 IV 212 E. 2.3; 123 II 595 E. 7c).</w:t>
      </w:r>
    </w:p>
    <w:p>
      <w:r>
        <w:rPr>
          <w:b/>
        </w:rPr>
        <w:t>E. 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1 des Organisationsreglements für das Bundes- strafgericht vom 31. August 2010, Organisationsreglement BStGer [BStGerOR, SR 173.713.161]). Der vorliegende Auslieferungsentscheid wurde dem Beschwerdeführer am 23. Februar 2012 eröffnet (act. 2). Die</w:t>
      </w:r>
    </w:p>
    <w:p>
      <w:r>
        <w:t>- 4 -</w:t>
      </w:r>
    </w:p>
    <w:p>
      <w:r>
        <w:t>Beschwerde vom 4. März 2012 ist demnach fristgerecht eingereicht wor- den, weshalb darauf einzutreten ist.</w:t>
      </w:r>
    </w:p>
    <w:p>
      <w:r>
        <w:rPr>
          <w:b/>
        </w:rPr>
        <w:t>E. 3.1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 des ersuchten Staates mit einer Freiheitsstrafe oder die Freiheit beschränkenden sichernden Mass- nahme im Höchstmass von mindestens einem Jahr oder mit einer schwere- ren Strafe bedroht sind. Ist im Hoheitsgebiet des ersuchenden Staates eine Verurteilung zu einer Strafe erfolgt oder eine sichernde Massnahme ange- ordnet worden, so muss deren Mass mindestens vier Monate betragen (Art. 2 Ziff. 1 EAUe; vgl. auch Art. 35 Abs. 1 lit. a IRSG). Die beidseitige Strafbarkeit setzt voraus, dass der im Ersuchen geschilderte Sachverhalt die objektiven Tatbestandsmerkmale einer schweizerischen Strafbestim- mung erfüllt. Besondere Schuldformen und Strafbarkeitsbedingungen wer- den nicht berücksichtigt (Art. 35 Abs. 2 IRSG). Bei der Prüfung der beidsei- tigen Strafbarkeit ist das BJ an die Sachverhaltsdarstellung im Ersuchen gebunden. Es hat weder Tat- noch Schuldfragen zu prüfen und grundsätz- lich auch keine Beweiswürdigung vorzunehmen, es sei denn die Sachver- haltsdarstellung im Rechtshilfeersuchen enthalte offensichtliche Fehler, Lücken oder Widersprüche (BGE 132 II 81 E. 2.1 S. 85; 125 II 250 E. 5b S. 257, je m.w.H.).</w:t>
      </w:r>
    </w:p>
    <w:p>
      <w:r>
        <w:rPr>
          <w:b/>
        </w:rPr>
        <w:t>E. 3.2</w:t>
      </w:r>
    </w:p>
    <w:p>
      <w:r>
        <w:t>Gemäss Urteil des Amtsgerichts München vom 14. Juli 2010 hat der Be- schwerdeführer am 9. Mai 2009 in München sowohl alleine als auch ge- meinsam mit zwei Mittätern zwei Besucher einer Diskothek geschlagen und getreten. Ein Geschädigter habe dabei eine blutende Gesichtsverletzung und der andere Schürfwunden, Hämatome und eine Schädelverletzung er- litten. Das Amtsgericht München verurteilte den Beschwerdeführer wegen Körperverletzung in Tatmehrheit mit gefährlicher Körperverletzung zu einer Gesamtfreiheitsstrafe von einem Jahr und zwei Monaten (act. 7.2). Die Tat wird vom Beschwerdeführer nicht bestritten (vgl. act. 1).</w:t>
      </w:r>
    </w:p>
    <w:p>
      <w:r>
        <w:rPr>
          <w:b/>
        </w:rPr>
        <w:t>E. 3.3</w:t>
      </w:r>
    </w:p>
    <w:p>
      <w:r>
        <w:t>Das für eine Auslieferung erforderliche Minimum bezüglich Strafmass von vier Monaten i.S.v. Art. 2 Ziff. 1 EAUe, ist durch die Verurteilung zu 14 Mo- naten Freiheitsstrafe erreicht. Sodann wäre das Verhalten des Beschwer- deführers auch nach schweizerischem Recht strafbar und würde den Tat-</w:t>
      </w:r>
    </w:p>
    <w:p>
      <w:r>
        <w:t>- 5 -</w:t>
      </w:r>
    </w:p>
    <w:p>
      <w:r>
        <w:t>bestand der Körperverletzung nach Art. 123 StGB erfüllen. Das Erfordernis der beidseitigen Strafbarkeit ist somit erfüllt.</w:t>
      </w:r>
    </w:p>
    <w:p>
      <w:r>
        <w:rPr>
          <w:b/>
        </w:rPr>
        <w:t>E. 4.1</w:t>
      </w:r>
    </w:p>
    <w:p>
      <w:r>
        <w:t>Der Beschwerdeführer macht die Verletzung des Spezialitätsprinzips gel- tend. Laut Art. 38 IRSG dürfe er nur für die beantragte Tat zur Verantwor- tung gezogen werden. Er habe in Deutschland bereits einmal eine bedingte Strafe erhalten und müsse davon ausgehen, dass die Bewährung nun wi- derrufen werde. Dies würde eine Missachtung von Art. 38 IRSG darstellen (act. 1).</w:t>
      </w:r>
    </w:p>
    <w:p>
      <w:r>
        <w:rPr>
          <w:b/>
        </w:rPr>
        <w:t>E. 4.2</w:t>
      </w:r>
    </w:p>
    <w:p>
      <w:r>
        <w:t>Gemäss Art. 14 EAUe darf der Ausgelieferte wegen einer anderen, vor der Übergabe begangenen Handlung als derjenigen, die der Auslieferung zu- grunde liegt, nur verfolgt, abgeurteilt, zur Vollstreckung einer Strafe oder si- chernden Massnahme in Haft gehalten oder einer sonstigen Beschränkung seiner persönlichen Freiheit unterworfen werden, wenn der Staat, der ihn ausgeliefert hat, zustimmt (Ziff. 1 lit. a, vgl. auch Art. 38 Abs. 1 lit. a IRSG) oder wenn der Ausgelieferte, obwohl er dazu die Möglichkeit hatte, das Hoheitsgebiet des Staates, dem er ausgeliefert worden ist, innerhalb von 45 Tagen nach seiner endgültigen Freilassung nicht verlassen hat, oder wenn er nach Verlassen dieses Gebiets dorthin zurückgekehrt ist (Ziff. 1 lit. b; vgl. auch die Erklärung der Schweiz zu dieser Bestimmung). Das Spezialitätsprinzip führt demzufolge nicht zu einem generellen Schutz des Betroffenen vor strafrechtlicher Verfolgung für weitere, vor der Überga- be begangene strafbare Handlungen. Vielmehr statuiert es die Pflicht, den Staat, an welchen das ursprüngliche Auslieferungsbegehren gerichtet war, um Zustimmung auch zur Ahndung der weiteren Straftaten zu ersuchen.</w:t>
      </w:r>
    </w:p>
    <w:p>
      <w:r>
        <w:rPr>
          <w:b/>
        </w:rPr>
        <w:t>E. 4.3</w:t>
      </w:r>
    </w:p>
    <w:p>
      <w:r>
        <w:t>Mit Auslieferungsentscheid vom 22. Februar 2012 bewilligte das BJ die Auslieferung des Beschwerdeführers an Deutschland ausdrücklich nur für die dem Auslieferungsersuchen des Bayerischen Staatsministeriums der Justiz und für Verbraucherschutz vom 20. Januar 2012 zugrunde liegenden Straftaten wegen Körperverletzung und somit lediglich für die Vollstreckung der diesbezüglichen Gesamtfreiheitsstrafe von einem Jahr und zwei Mona- ten (act. 2).</w:t>
      </w:r>
    </w:p>
    <w:p>
      <w:r>
        <w:t>Art. 14 EAUe entfaltet in Deutschland als Unterzeichnerstaat dieses Ab- kommens direkte Wirkung. Nach dem im Rechtshilfeverkehr geltenden Ver- trauensgrundsatz wird das völkerrechtskonforme Verhalten von Staaten, die – wie Deutschland – mit der Schweiz durch einen Rechtshilfevertrag verbunden sind, vermutet (vgl. Urteil des Bundesgerichts 1C_408/2007</w:t>
      </w:r>
    </w:p>
    <w:p>
      <w:r>
        <w:t>- 6 -</w:t>
      </w:r>
    </w:p>
    <w:p>
      <w:r>
        <w:t>vom 21. Dezember 2007, E. 2.2). Konkrete Anhaltspunkte dafür, dass Deutschland das in Art. 14 EAUe verankerte Spezialitätsprinzip verletzen könnte, sind nicht ersichtlich. Sollten die ersuchenden Behörden die Auslie- ferung des Beschwerdeführers für andere Taten verlangen als für jene im Zusammenhang mit dem Urteil des Amtsgerichts München vom 14. Juli 2010, so hat laut Art. 39 IRSG der ersuchende Staat ein erneutes Begeh- ren um Auslieferung zu stellen. Der entsprechende Auslieferungsentscheid, welchen das BJ somit gegebenenfalls zu treffen hätte, würde sodann wie- derum der Beschwerde unterliegen. Die vorliegende Beschwerde erweist sich somit als unbegründet.</w:t>
      </w:r>
    </w:p>
    <w:p>
      <w:r>
        <w:rPr>
          <w:b/>
        </w:rPr>
        <w:t>E. 5</w:t>
      </w:r>
    </w:p>
    <w:p>
      <w:r>
        <w:t>Andere Auslieferungshindernisse werden weder geltend gemacht, noch sind solche ersichtlich. Die Auslieferung des Beschwerdeführers an Deutschland für die im angefochtenen Auslieferungsentscheid genannten Straftaten ist daher zulässig und die Beschwerde ist abzuweisen.</w:t>
      </w:r>
    </w:p>
    <w:p>
      <w:r>
        <w:rPr>
          <w:b/>
        </w:rPr>
        <w:t>E. 6.1</w:t>
      </w:r>
    </w:p>
    <w:p>
      <w:r>
        <w:t>Die Beschwerdekammer befreit eine Partei, welche nicht über die erforder- lichen Mittel verfügt, auf Antrag von der Bezahlung der Verfahrenskosten, sofern ihr Begehren nicht aussichtslos erscheint (Art. 65 Abs. 1 VwVG i.V.m. Art. 39 Abs. 2 l it. b StBOG) und bestellt dieser einen Anwalt, wenn es zur Wahrung ihrer Rechte notwendig erscheint (Art. 65 Abs. 2 VwVG i.V.m. Art. 39 Abs. 2 lit. b StBOG). Gemäss bundesgerichtlicher Rechtspre- chung sind Prozessbegehren als aussichtslos anzusehen, wenn die Ge- winnaussichten beträchtlich geringer erscheinen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Ob im Einzelfall genügende Erfolgsaussichten beste- hen, beurteilt sich nach den Verhältnissen zur Zeit, zu der das Gesuch um unentgeltliche Rechtspflege gestellt wird (BGE 129 I 129 E. 2.3.1; 128 I 225 E. 2.5.3; 124 I 304 E. 2c).</w:t>
      </w:r>
    </w:p>
    <w:p>
      <w:r>
        <w:rPr>
          <w:b/>
        </w:rPr>
        <w:t>E. 6.2</w:t>
      </w:r>
    </w:p>
    <w:p>
      <w:r>
        <w:t>Die Auslieferung des Beschwerdeführers an Deutschland ist wie ausgeführt ohne Weiteres zulässig, weshalb seine Begehren als aussichtslos im vor- genannten Sinne anzusehen sind. Das Gesuch um unentgeltliche Rechts- pflege ist somit abzuweisen. Der schwierigen finanziellen Situation kann aber gemäss Art. 5 des Reglements des Bundesstrafgerichts vom 31. Au-</w:t>
      </w:r>
    </w:p>
    <w:p>
      <w:r>
        <w:t>- 7 -</w:t>
      </w:r>
    </w:p>
    <w:p>
      <w:r>
        <w:t>gust 2010 über die Kosten, Gebühren und Entschädigungen in Bundes- strafverfahren (BStKR; SR 173.713.162) i.V.m. Art. 63 Abs. 4bis VwVG mit einer reduzierten Gerichtsgebühr Rechnung getragen werden.</w:t>
      </w:r>
    </w:p>
    <w:p>
      <w:r>
        <w:rPr>
          <w:b/>
        </w:rPr>
        <w:t>E. 6.3</w:t>
      </w:r>
    </w:p>
    <w:p>
      <w:r>
        <w:t>Bei diesem Ausgang des Verfahrens hat der Beschwerdeführer die Ge- richtskosten zu tragen (Art. 63 Abs. 1 VwVG i.V.m. Art. 39 Abs. 2 lit. b StBOG). Für die Berechnung der Gerichtsgebühren gelangt das BStKR i.V.m. Art. 63 Abs. 5 VwVG zur Anwendung. Unter Berücksichtigung aller Umstände ist die Gerichtsgebühr vorliegend auf Fr. 500.-- festzusetzen.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