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RR.2012.45 vom 7. August 2012</w:t>
      </w:r>
    </w:p>
    <w:p>
      <w:r>
        <w:t>Bundesstrafgericht, 2012-08-07, DE</w:t>
      </w:r>
    </w:p>
    <w:p>
      <w:r>
        <w:rPr>
          <w:b/>
        </w:rPr>
        <w:t xml:space="preserve">Quelle: </w:t>
      </w:r>
      <w:r>
        <w:t>https://mcp.opencaselaw.ch/entscheid/bstger_RR.2012.45</w:t>
      </w:r>
    </w:p>
    <w:p>
      <w:r>
        <w:t>FR: TPF RR.2012.45 du 7 août 2012</w:t>
      </w:r>
    </w:p>
    <w:p>
      <w:r>
        <w:t>IT: TPF RR.2012.45 del 7 agosto 2012</w:t>
      </w:r>
    </w:p>
    <w:p>
      <w:pPr>
        <w:pStyle w:val="Heading2"/>
      </w:pPr>
      <w:r>
        <w:t>Regeste</w:t>
      </w:r>
    </w:p>
    <w:p>
      <w:r>
        <w:t>Internationale Rechtshilfe in Strafsachen an Estland. Herausgabe von Beweismitteln (Art. 74 IRSG).</w:t>
      </w:r>
    </w:p>
    <w:p>
      <w:pPr>
        <w:pStyle w:val="Heading2"/>
      </w:pPr>
      <w:r>
        <w:t>Erwägungen</w:t>
      </w:r>
    </w:p>
    <w:p>
      <w:r>
        <w:rPr>
          <w:b/>
        </w:rPr>
        <w:t>E. 1.1</w:t>
      </w:r>
    </w:p>
    <w:p>
      <w:r>
        <w:t>Für die Rechtshilfe zwischen Estland und der Schweiz sind in erster Linie die Bestimmungen des Europäischen Übereinkommens über die Rechtshil- fe in Strafsachen vom 20. April 1959 (EUeR; SR 0.351.1), dem beide Staa- ten beigetreten sind, das zu diesem Übereinkommen am 8. November 2001 ergangene zweite Zusatzprotokoll (2. ZP; SR 0.351.12) sowie die Be- stimmungen der Art. 48 ff. des Übereinkommens vom 19. Juni 1990 zur Durchführung des Übereinkommens von Schengen vom 14. Juni 1985 (Schengener Durchführungsübereinkommen, SDÜ; ABl. L 239 vom 22. September 2000, S. 19 − 62) massgeblich. Ebenso zur Anwendung kommt hier das Übereinkommen vom 8. November 1990 über Geldwä- scherei sowie Ermittlung, Beschlagnahme und Einziehung von Erträgen aus Straftaten (GwUe; SR 0.311.53).</w:t>
      </w:r>
    </w:p>
    <w:p>
      <w:r>
        <w:rPr>
          <w:b/>
        </w:rPr>
        <w:t>E. 1.2</w:t>
      </w:r>
    </w:p>
    <w:p>
      <w:r>
        <w:t>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Februar 1982 (IRSV; SR 351.11) anwendbar (Art. 1 Abs. 1 IRSG; BGE 130 II 337 E. 1; 128 II 355 E. 1; 124 II 180 E. 1a). Das innerstaatliche Recht gilt nach</w:t>
      </w:r>
    </w:p>
    <w:p>
      <w:r>
        <w:t>- 4 -</w:t>
      </w:r>
    </w:p>
    <w:p>
      <w:r>
        <w:t>dem Günstigkeitsprinzip auch dann, wenn dieses geringere Anforderungen an die Rechtshilfe stellt (BGE 136 IV 82 E. 3.1; 129 II 462 E. 1.1 S. 464 m.w.H.). Das Günstigkeitsprinzip ist auch innerhalb der massgebenden in- ternationalen Rechtsquellen zu beachten (vgl. Art. 48 SDÜ). Vorbehalten bleibt die Wahrung der Menschenrechte (BGE 135 IV 212 E. 2.3 S. 215; 123 II 595 E. 7c S. 616 ff., je m.w.H.).</w:t>
      </w:r>
    </w:p>
    <w:p>
      <w:r>
        <w:rPr>
          <w:b/>
        </w:rPr>
        <w:t>E. 2</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 V. m. Art. 80k IRSG; Art. 37 Abs. 2 lit. a Ziff. 1 StBOG; Art. 19 Abs. 2 des Organisations- reglements vom 31. August 2010 für das Bundesstrafgericht, Organisati- onsreglement BStGer, BStGerOR; SR 173.713.161). Die Beschwerde vom 29. Februar 2012 gegen die Schlussverfügung vom 27. Januar 2012 wurde fristgerecht eingereicht.</w:t>
      </w:r>
    </w:p>
    <w:p>
      <w:r>
        <w:rPr>
          <w:b/>
        </w:rPr>
        <w:t>E. 3.1</w:t>
      </w:r>
    </w:p>
    <w:p>
      <w:r>
        <w:t>Im Beschwerdeverfahren ist als Partei nur zuzulassen, wer partei- und pro- zessfähig und zudem im Sinne von Art. 80h IRSG zur Beschwerdeführung berechtigt ist. Die Partei- und Prozessfähigkeit bestimmt sich nach dem Zi- vilrecht. Wer rechtsfähig ist, gilt als parteifähig. Rechtsfähig sind die natürli- chen Personen sowie die juristischen Personen des Privatrechts und des öffentlichen Rechts (MARANTELLI-SONANINI/HUBER, in: WALDMANN/WEIS- SENBERGER [Hrsg.], Praxiskommentar zum Bundesgesetz über das Verwal- tungsverfahren, Zürich/Basel/Genf 2009, Art. 6 N 12 f.; KÖLZ/HÄNER, Ver- waltungsverfahren und Verwaltungsrechtspflege des Bundes, Zürich 1998, 2. Aufl., N 260).</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w:t>
      </w:r>
    </w:p>
    <w:p>
      <w:r>
        <w:t>Der wirtschaftlich Berechtigte und andere bloss indirekt Betroffene sind nach der Rechtsprechung grundsätzlich nicht zur Beschwerde legitimiert, dies selbst dann nicht, wenn sie in den erhobenen Kontounterlagen er- wähnt werden und dadurch etwa ihre Identität als wirtschaftlich Berechtigte</w:t>
      </w:r>
    </w:p>
    <w:p>
      <w:r>
        <w:t>- 5 -</w:t>
      </w:r>
    </w:p>
    <w:p>
      <w:r>
        <w:t>eines Kontos offen gelegt wird (BGE 130 II 162 E. 1.1 S. 164; 123 II 153 E. 2b S. 157, je m.w.H.). Ausnahmsweise können der bloss wirtschaftlich an einem Konto oder an einer direkt betroffenen Gesellschaft Berechtigte selbständig beschwerdelegitimiert sein, etwa dann, wenn eine juristische Person, über deren Konto Auskunft verlangt wird, nicht mehr besteht (BGE 123 II 153 E. 2c-d S. 157 f.; Urteil des Bundesgerichts 1A.183/2005 vom 9. Dezember 2005, E. 2.1). Die Beweislast für die wirtschaftliche Berechti- gung und die Liquidation der Gesellschaft obliegt dem Rechtsuchenden (Urteil des Bundesgerichts 1A.10/2000 vom 18. Mai 2000, E. 1e). Der wirt- schaftlich Berechtigte einer erloschenen Gesellschaft muss insbesondere beweisen, dass die Gesellschaft liquidiert wurde und er Begünstigter dieser Liquidation war (Urteile des Bundesgerichts 1C_183/2012 vom 12. April 2012, E. 1.5; 1C_161/2011 vom 11. April 2011, E. 1.3; 1A.284/2003 vom 11. Feb-ruar 2004, E. 1; 1A.216/2001 vom 21. März 2002 E. 1.3.2; 1A.84/1999 vom 31. Mai 1999, E. 2c; Entscheide des Bundesstrafgerichts RR.2009.151 vom 11. September 2009, E. 1.3.2; RR.2007.61 vom 25. Juli 2007, E. 2.2 m.w.H.). Die Auflösung der Gesellschaft und die Berufung auf die ersatzweise Legitimation eines wirtschaftlich Berechtigten darf zudem nicht bloss vorgeschoben oder rechtsmissbräuchlich erscheinen (BGE 123 II 153 E. 2d S. 157 f.).</w:t>
      </w:r>
    </w:p>
    <w:p>
      <w:r>
        <w:rPr>
          <w:b/>
        </w:rPr>
        <w:t>E. 3.2</w:t>
      </w:r>
    </w:p>
    <w:p>
      <w:r>
        <w:t>Die angefochtene Verfügung bezieht sich auf die Herausgabe von Bankun- terlagen betreffend Konto Nr. 2 der aufgelösten F. Ltd. bei der Bank C. AG. Wie aus den vorliegenden Akten ersichtlich, war der Beschwerdeführer an diesem Konto wirtschaftlich Berechtigter (act. 1.5, 1.7, Verfahrensakten S. 1040). Die G. AG gab mit Memo vom 7. Februar 2011 die Saldierung des Kontos in Auftrag und teilte mit, der Saldo werde von H. in bar an der Kasse bezogen (Verfahrensakten S. 1208). Die Vermögenswerte des sal- dierten Kontos beliefen sich auf EUR 470'000.-- und sollten gemäss Zah- lungsauftrag vom 1. Februar 2011 per Check ausbezahlt werden (Verfah- rensakten S. 1213, 1215). Aus den herauszugebenden Bankunterlagen er- gibt sich – und dieser Umstand für sich selbst wird vom Beschwerdeführer nicht bestritten (act. 1, S. 5, N. 9) –, dass der entsprechende Check an Order I. ausgestellt wurde (vgl. Verfahrensakten S. 1195, 1210, 1215, 1216). Selbst wenn der Beschwerdeführer den Check entgegen genommen hat – was aus den Unterlagen, welche bei der Bank ediert wurden, nicht ersichtlich ist (Verfahrensakten S. 1210; anders aber schwer erklärbar das vom Beschwerdeführer eingereichte Aktenstück, act. 1.10) – scheint nicht er, sondern I. Begünstigter der Vermögenswerte der aufgelösten F. Ltd. zu sein. Der Einwand des Beschwerdeführers, wonach der Check an I. ausge- stellt wurde, um Verlagskosten und Kosten von Kampagnen seiner Partei zu decken, vermag daran nichts zu ändern. Der Beschwerdeführer erfüllt</w:t>
      </w:r>
    </w:p>
    <w:p>
      <w:r>
        <w:t>- 6 -</w:t>
      </w:r>
    </w:p>
    <w:p>
      <w:r>
        <w:t>somit die Voraussetzungen der Beschwerdelegitimation des wirtschaftlich Berechtigten an einer erloschenen Gesellschaft im Sinne der zitierten Rechtsprechung nicht, weshalb auf seine Beschwerde nicht einzutreten ist.</w:t>
      </w:r>
    </w:p>
    <w:p>
      <w:r>
        <w:rPr>
          <w:b/>
        </w:rPr>
        <w:t>E. 4</w:t>
      </w:r>
    </w:p>
    <w:p>
      <w:r>
        <w:t>Bei diesem Ausgang des Verfahrens wird der Beschwerdeführer kosten- pflichtig (Art. 63 Abs. 1 VwVG i.V.m. Art. 39 Abs. 2 lit. b StBOG). Für die Berechnung der Gerichtsgebühren gelangt gemäss Art. 63 Abs. 5 VwVG das Reglement des Bundesstrafgerichts vom 31. August 2010 über die Kosten, Gebühren und Entschädigungen in Bundesstrafverfahren (BStKR; SR 173.713.162) zur Anwendung. Die Gerichtsgebühr ist vorliegend auf Fr. 2'500.-- anzusetzen (Art. 8 Abs. 3 lit. a des Reglements), unter Verrech- nung des entsprechenden Betrages mit dem geleisteten Kostenvorschuss von Fr. 5'000.--. Die Bundesstrafgerichtskasse ist anzuweisen, dem Be- schwerdeführer den Restbetrag von Fr. 2'500.--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