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RR.2012.44 vom 26. April 2012</w:t>
      </w:r>
    </w:p>
    <w:p>
      <w:r>
        <w:t>Bundesstrafgericht, 2012-04-26, DE</w:t>
      </w:r>
    </w:p>
    <w:p>
      <w:r>
        <w:rPr>
          <w:b/>
        </w:rPr>
        <w:t xml:space="preserve">Quelle: </w:t>
      </w:r>
      <w:r>
        <w:t>https://mcp.opencaselaw.ch/entscheid/bstger_RR.2012.44</w:t>
      </w:r>
    </w:p>
    <w:p>
      <w:r>
        <w:t>FR: TPF RR.2012.44 du 26 avril 2012</w:t>
      </w:r>
    </w:p>
    <w:p>
      <w:r>
        <w:t>IT: TPF RR.2012.44 del 26 aprile 2012</w:t>
      </w:r>
    </w:p>
    <w:p>
      <w:pPr>
        <w:pStyle w:val="Heading2"/>
      </w:pPr>
      <w:r>
        <w:t>Regeste</w:t>
      </w:r>
    </w:p>
    <w:p>
      <w:r>
        <w:t>Internationale Rechtshilfe in Strafsachen an Spanien.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Oktober 2011 an die Schweiz gelangten und um Vornahme von ver- schiedenen Bankenermittlungen ersuchten (act. 1.2);</w:t>
      </w:r>
    </w:p>
    <w:p>
      <w:r>
        <w:t>- mit Eintretensverfügung II vom 3. Januar 2012 die Bundesanwaltschaft die Bank B. zur Edition der angeforderten Bankunterlagen aufforderte; die betreffende Bank dieser Aufforderung mit Übermittlungsschreiben vom 19./25. Januar 2012 nachkam; die Bundesanwaltschaft mit gleicher Verfü- gung der Bank ein Mitteilungsverbot auferlegte;</w:t>
      </w:r>
    </w:p>
    <w:p>
      <w:r>
        <w:t>- mit Schlussverfügung II vom 31. Januar 2012 die Bundesanwaltschaft die rechtshilfeweise Herausgabe von diversen Bankunterlagen anordnete; sie gleichzeitig das mit Eintretensverfügung II vom 3. Januar 2012 vorsorglich angeordnete Mitteilungsverbot aufhob (act. 1.2);</w:t>
      </w:r>
    </w:p>
    <w:p>
      <w:r>
        <w:t>- A. mit Eingabe vom 1. März 2012 Beschwerde gegen die Schlussverfügung II vom 31. Januar 2012 erheben lässt (act. 1);</w:t>
      </w:r>
    </w:p>
    <w:p>
      <w:r>
        <w:t>- mit Eingabe vom 15. März 2012 der Beschwerdeführer die Beschwerde zu- rückzieht (act. 4), weshalb das Beschwerdeverfahren als erledigt abzu- schreiben ist;</w:t>
      </w:r>
    </w:p>
    <w:p>
      <w:r>
        <w:t>- der Beschwerdeführer, der seine Beschwerde zurückzieht, grundsätzlich als unterliegende Partei zu gelten und folglich gemäss Art. 63 Abs. 1 VwVG i.V.m. Art. 39 Abs. 2 lit. b StBOG die Gerichtskosten zu tragen hat (Ent- scheide des Bundesstrafgerichts RR.2010.130+131 vom 15. Septem- ber 2010, RR.2008.253 vom 27. Oktober 2008; je m.w.H.); für die Berech- nung der Gerichtsgebühr das Reglement BStKR zur Anwendung gelangt (Art. 63 Abs. 5 VwVG i.V.m. Art. 39 Abs. 2 lit. b StBOG); die Gerichtsge- bühr vorliegend auf Fr. 300.00 anzusetzen ist.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