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RR.2012.37 vom 22. März 2012</w:t>
      </w:r>
    </w:p>
    <w:p>
      <w:r>
        <w:t>Bundesstrafgericht, 2012-03-22, FR</w:t>
      </w:r>
    </w:p>
    <w:p>
      <w:r>
        <w:rPr>
          <w:b/>
        </w:rPr>
        <w:t xml:space="preserve">Quelle: </w:t>
      </w:r>
      <w:r>
        <w:t>https://mcp.opencaselaw.ch/entscheid/bstger_RR.2012.37</w:t>
      </w:r>
    </w:p>
    <w:p>
      <w:r>
        <w:t>FR: TPF RR.2012.37 du 22 mars 2012</w:t>
      </w:r>
    </w:p>
    <w:p>
      <w:r>
        <w:t>IT: TPF RR.2012.37 del 22 marzo 2012</w:t>
      </w:r>
    </w:p>
    <w:p>
      <w:pPr>
        <w:pStyle w:val="Heading2"/>
      </w:pPr>
      <w:r>
        <w:t>Regeste</w:t>
      </w:r>
    </w:p>
    <w:p>
      <w:r>
        <w:t>Entraide judiciaire internationale en matière pénale à l'Espagne. Remise de moyens de preuve (art. 74 EIMP). Qualité pour recourir (ayant droit économique d'une société dissoute).</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1 du règlement du 31 août 2010 sur l’organisation du Tribu- nal pénal fédéral (ROTPF; RS 173.713.161), la Cour des plaintes du Tribu- nal pénal fédéral est compétente pour connaître des recours dirigés contre les décisions de clôture de la procédure d’entraide rendues par l’autorité cantonale d’exécution.</w:t>
      </w:r>
    </w:p>
    <w:p>
      <w:r>
        <w:rPr>
          <w:b/>
        </w:rPr>
        <w:t>E. 2</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w:t>
      </w:r>
    </w:p>
    <w:p>
      <w:r>
        <w:t>- 3 -</w:t>
      </w:r>
    </w:p>
    <w:p>
      <w:r>
        <w:t>s’appliquent également à l’entraide pénale entre ces deux Etats. Les dispo- sitions de ces traités l’emportent sur le droit autonome qui régit la matière, soit l’EIMP et son ordonnance d’exécution (OEIMP; RS 351.11). Le droit in- 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3.1</w:t>
      </w:r>
    </w:p>
    <w:p>
      <w:r>
        <w:t>Aux termes de l’art. 80h let. b EIMP, a qualité pour recourir en matière de «petite entraide» quiconque est personnellement et directement touché par une mesure d’entraide et a un intérêt digne de protection à ce qu’elle soit annulée ou modifiée. Selon la jurisprudence du Tribunal fédéral, les deux critères ne sont pas cumulatifs, en ce sens qu’ils posent la même exigence (ATF 137 IV 134 consid. 5.1.2; arrêt du Tribunal fédéral 1C_287/2008 du 12 janvier 2009, consid. 2.2 et les références citées); le critère de l’intérêt digne de protection n’a ainsi pas de portée autonome supplémentaire (arrêt du Tribunal fédéral 1C_424/2010 du 2 février 2011, consid. 5.1.2 et les ré- férences citées).</w:t>
      </w:r>
    </w:p>
    <w:p>
      <w:r>
        <w:t>Selon l’art. 9a let. a OEIMP, en cas d’informations sur un compte bancaire, est réputé personnellement et directement touché au sens des art. 21 al. 3 et 80h EIMP, le titulaire de ce compte.</w:t>
      </w:r>
    </w:p>
    <w:p>
      <w:r>
        <w:rPr>
          <w:b/>
        </w:rPr>
        <w:t>E. 3.2</w:t>
      </w:r>
    </w:p>
    <w:p>
      <w:r>
        <w:t>En l’occurrence, le compte n° 1 a été ouvert au nom de la société D., de siège à Panama (dossier remis par l’autorité d’exécution, classeur gris an- nexé).</w:t>
      </w:r>
    </w:p>
    <w:p>
      <w:r>
        <w:rPr>
          <w:b/>
        </w:rPr>
        <w:t>E. 3.3</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 ficiels à l’appui (arrêts du Tribunal fédéral 1C_161/2011 du 11 avril 2011, consid. 1.3; 1A.212/2001 du 21 mars 2002, consid. 1.3.2; 1A.10/2000 du 18 mai 2000, consid. 1e; 1A.131/1999 du 26 août 1999, consid. 3 et 1A.236/1998 du 25 janvier 1999, consid. 1b/bb) et la liquidation ne doit pas s’avérer abusive. La liquidation est abusive lorsqu’elle est intervenue, sans</w:t>
      </w:r>
    </w:p>
    <w:p>
      <w:r>
        <w:t>- 4 -</w:t>
      </w:r>
    </w:p>
    <w:p>
      <w:r>
        <w:t>raison économique apparente, dans un délai proche de l’ouverture de l’ac- tion pénale dans l’Etat requérant (arrêt du Tribunal fédéral 1A.10/2000 du 18 mai 2000, consid. 2). Il faut en outre que l’acte de dissolution indique clairement l’ayant droit comme son bénéficiaire (arrêts du Tribunal fédéral 1A.216/2001 du 21 mars 2002, consid. 1.3; 1A.84/1999 du 31 mai 1999, consid. 2c). Ces conditions doivent être remplies, sous peine d’irrecevabilité.</w:t>
      </w:r>
    </w:p>
    <w:p>
      <w:r>
        <w:rPr>
          <w:b/>
        </w:rPr>
        <w:t>E. 3.4</w:t>
      </w:r>
    </w:p>
    <w:p>
      <w:r>
        <w:t>En l’espèce, il ressort de la documentation d’ouverture relative au compte n° 1 que les ayants droit économiques en étaient A., B., ainsi que C. et le dénommé F. (dossier remis par l’autorité d’exécution, classeur gris). Ce seul fait ne suffit pas pour reconnaître aux deux premiers cités la qualité pour recourir contre la remise à l’autorité requérante d’informations afféren- tes audit compte.</w:t>
      </w:r>
    </w:p>
    <w:p>
      <w:r>
        <w:t>En annexe au mémoire de recours, les recourants produisent un acte nota- rié panaméen du 22 juillet 2005 attestant de la dissolution à la même date de la société D. (act. 1.12). L’acte en question ne contient toutefois aucune information quant au sort des biens détenus par la société. Or, selon la ju- risprudence du Tribunal fédéral, le fait que la société liquidée l’ait été en fa- 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 du Tribunal fédéral 1C_161/2011 du 11 avril 2011, consid. 1.3.1 et les références citées).</w:t>
      </w:r>
    </w:p>
    <w:p>
      <w:r>
        <w:rPr>
          <w:b/>
        </w:rPr>
        <w:t>E. 3.5</w:t>
      </w:r>
    </w:p>
    <w:p>
      <w:r>
        <w:t>Vu ce qui précède, force est de constater que les conditions dans lesquel- les la qualité pour recourir contre une mesure d’entraide doit exceptionnel- lement être reconnue à l’ayant droit économique d’une personne morale ne sont pas réalisées en l’espèce. Le recours est partant irrecevable.</w:t>
      </w:r>
    </w:p>
    <w:p>
      <w:r>
        <w:rPr>
          <w:b/>
        </w:rPr>
        <w:t>E. 4</w:t>
      </w:r>
    </w:p>
    <w:p>
      <w:r>
        <w:t>Compte tenu de l’irrecevabilité manifeste du recours, il a été renoncé à procéder à un échange d’écritures (art. 57 al. 1 a contrario de la loi fédérale du 20 décembre 1968 sur la procédure administrative [PA; RS 172.021], applicable par renvoi de l’art. 39 al. 2 let. b LOAP).</w:t>
      </w:r>
    </w:p>
    <w:p>
      <w:r>
        <w:t>En tant que parties qui succombent, les recourants doivent supporter les frais du présent arrêt (art. 63 al. 1 PA), lesquels sont fixés à CHF 2’500.-- (art. 73 al. 2 LOAP et art. 8 al. 3 du règlement du Tribunal pénal fédéral du 31 août 2010 sur les frais, émoluments, dépens, et indemnités de la procé-</w:t>
      </w:r>
    </w:p>
    <w:p>
      <w:r>
        <w:t>- 5 -</w:t>
      </w:r>
    </w:p>
    <w:p>
      <w:r>
        <w:t>dure pénale fédérale [RFPPF; RS 173.713.162]; art. 63 al. 5 PA), couverts par l’avance de frais de CHF 6’000.-- déjà versée. La caisse du Tribunal pénal fédéral restituera aux recourants le solde de l’avance de frais, par CHF 3’500.--.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