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RR.2012.312 vom 12. April 2013</w:t>
      </w:r>
    </w:p>
    <w:p>
      <w:r>
        <w:t>Bundesstrafgericht, 2013-04-12, IT</w:t>
      </w:r>
    </w:p>
    <w:p>
      <w:r>
        <w:rPr>
          <w:b/>
        </w:rPr>
        <w:t xml:space="preserve">Quelle: </w:t>
      </w:r>
      <w:r>
        <w:t>https://mcp.opencaselaw.ch/entscheid/bstger_RR.2012.312</w:t>
      </w:r>
    </w:p>
    <w:p>
      <w:r>
        <w:t>FR: TPF RR.2012.312 du 12 avril 2013</w:t>
      </w:r>
    </w:p>
    <w:p>
      <w:r>
        <w:t>IT: TPF RR.2012.312 del 12 aprile 2013</w:t>
      </w:r>
    </w:p>
    <w:p>
      <w:pPr>
        <w:pStyle w:val="Heading2"/>
      </w:pPr>
      <w:r>
        <w:t>Regeste</w:t>
      </w:r>
    </w:p>
    <w:p>
      <w:r>
        <w:t>Assistenza giudiziaria internazionale in materia penale all'Italia/Consegna di mezzi di prova (art. 74 AIMP): diritto di essere sentito; doppia punibilità; gravi deficienze procedurali.</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sull'organizzazione del Tribunale penale federale (ROTPF; RS 173.713.161), la Corte dei re- 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w:t>
      </w:r>
    </w:p>
    <w:p>
      <w:r>
        <w:t>- 4 -</w:t>
      </w:r>
    </w:p>
    <w:p>
      <w:r>
        <w:t>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cantonale d’esecuzione, il ricorso è ricevibile sotto il profilo de- gli art. 25 cpv. 1, 80e cpv. 1 e 80k AIMP. La legittimazione della ricorrente, titolare del conto oggetto della criticata misura rogatoriale, è pacifica (v. art. 80h lett. b AIMP e art. 9a lett. a OAIMP; DTF 137 IV 134 consid. 5.2.1; 118 Ib 547 consid. 1d; TPF 2007 79 consid. 1.6).</w:t>
      </w:r>
    </w:p>
    <w:p>
      <w:r>
        <w:rPr>
          <w:b/>
        </w:rPr>
        <w:t>E. 2</w:t>
      </w:r>
    </w:p>
    <w:p>
      <w:r>
        <w:t>La società ricorrente sostiene che la decisione impugnata non riporterebbe i motivi alla base della reiezione delle pregresse censure sulla ricevibilità della rogatoria, ciò che già di per sé renderebbe nulla per carenza di moti- vazione la decisione di chiusura. In particolare, non verrebbero menzionate le risultanze di alcune iniziative intraprese dall'autorità d'esecuzione tese a raccogliere ulteriori informazioni presso le autorità italiane e l'indagata all'e- stero sui fatti oggetto della domanda di assistenza.</w:t>
      </w:r>
    </w:p>
    <w:p>
      <w:r>
        <w:rPr>
          <w:b/>
        </w:rPr>
        <w:t>E. 2.1</w:t>
      </w:r>
    </w:p>
    <w:p>
      <w:r>
        <w:t>Conformemente al diritto di essere sentito (art. 29 cpv. 2 Cost), l'autorità deve indicare nella sua decisione i motivi alla base della stessa (DTF 136 I 229 consid. 5.5). Essa non è tenuta a discutere in maniera dettagliata tutti gli argomenti sollevati dalle parti, né a statuire separatamente su ogni con- clusione che le viene presentata. Essa può limitarsi all'esame delle que- stioni decisive per l'esito del litigio (DTF 134 I 83 consid. 4.1; 130 II 530 consid. 4.3; 126 I 97 consid. 2b e sentenze citate; sentenza del Tribunale federale 1B_380/2010 del 14 marzo 2011, consid. 3.2.1).</w:t>
      </w:r>
    </w:p>
    <w:p>
      <w:r>
        <w:rPr>
          <w:b/>
        </w:rPr>
        <w:t>E. 2.2</w:t>
      </w:r>
    </w:p>
    <w:p>
      <w:r>
        <w:t>In concreto, l'autorità d'esecuzione ha in sostanza motivato la trasmissione della documentazione litigiosa affermando che quest'ultima è potenzial- mente utile per chiarire le accuse formulate da C. all'intenzione dell'indaga- ta B., secondo le quali quest'ultima si sarebbe appropriata della quota parte spettante al primo a seguito della vendita di un terreno di circa 28'000 m2 ubicato a Zagabria. Dalla rogatoria italiana emergerebbe che il C. e la B. avrebbero collaborato sin dalla fine degli anni ottanta nell'ambito di diverse società, segnatamente nel 1989, quando sarebbe stata costituita la E. Srl, con sede a Trieste. Agli inizi dell'anno 2000 la E. Srl, che avrebbe conces- so un finanziamento alla società croata F., avrebbe ricevuto in contropartita da quest'ultima, per il tramite di una società croata, la G., un terreno di 28'000 m2 situato a Zagabria. Le quote della G. sarebbero passate dalla E. Srl alla H. Srl, società interamente detenuta dalla B., quindi al fiduciario svizzero I., per poi essere cedute alla società croata J., per un importo di oltre EUR 4'800'000.--, somma che, in base alle indagini condotte dalla</w:t>
      </w:r>
    </w:p>
    <w:p>
      <w:r>
        <w:t>- 5 -</w:t>
      </w:r>
    </w:p>
    <w:p>
      <w:r>
        <w:t>Procura di Udine, risulterebbe stata pagata nella maniera seguente: EUR 480'216.80 a titolo di acconto; EUR 437'618.-- alla società K. come com- penso di mediazione; EUR 2'188'738.20 sul conto bancario n. 1 presso la banca D. intestato alla qui ricorrente; EUR 1'696'000.-- versati sul medesi- mo conto e poi impiegati per ripianare le esposizioni presso la banca L. In considerazione del prezzo pagato e degli investimenti da lui effettuati, in particolare a titolo di aumenti di capitale, al netto dei rimborsi dovuti, C. ri- terrebbe l'importo di circa EUR 1'800'000.-- di sua esclusiva pertinenza. Quanto precede, che ha indotto il Ministero pubblico ticinese a ritenere la documentazione bancaria litigiosa potenzialmente utile per il procedimento penale italiano, è senz'altro conforme ai principi giurisprudenziali elaborati in materia di esigenze formali della motivazione (v. supra consid. 2.1). Il fat- to che l'autorità d'esecuzione non abbia riportato le risultanze di verifiche da essa effettuate presso l'autorità rogante, l'indagata B. e l'UFG, nulla mu- ta a tale conclusione, ritenuto che tali verifiche, del tutto usuali nei rapporti internazionali fra autorità rogata e autorità rogante, hanno permesso al Mi- nistero pubblico ticinese di dissipare eventuali dubbi legati alla ricevibilità della rogatoria, escludendo in particolare abusi manifesti (v. act. 7 pag. 2). Il fatto di non avere ripreso nella decisione di chiusura i contenuti di tali ve- rifiche non costituisce certamente una lacuna tale da inficiare la motivazio- ne sotto il profilo dell'art. 29 cpv. 2 Cost. e della relativa giurisprudenza.</w:t>
      </w:r>
    </w:p>
    <w:p>
      <w:r>
        <w:rPr>
          <w:b/>
        </w:rPr>
        <w:t>E. 3</w:t>
      </w:r>
    </w:p>
    <w:p>
      <w:r>
        <w:t>La società ricorrente sostiene altresì che il procedimento penale in Italia al- la base della rogatoria non avrebbe come oggetto unicamente il reato di appropriazione indebita aggravata, ma anche infrazioni di natura fiscale te- nute nascoste dall'autorità richiedente, per le quali l'assistenza andrebbe ri- fiutata.</w:t>
      </w:r>
    </w:p>
    <w:p>
      <w:r>
        <w:rPr>
          <w:b/>
        </w:rPr>
        <w:t>E. 3.1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all'art. 64 cpv. 1 AIMP.</w:t>
      </w:r>
    </w:p>
    <w:p>
      <w:r>
        <w:t>Nell'ambito dell'esame della doppia punibilità, l'autorità non si scosta dall'e- sposto dei fatti contenuto nella domanda, fatti salvi gli errori, le lacune o al- tre contraddizioni evidenti ed immediatamente rilevati (DTF 132 II 81 con- sid. 2.1; 118 Ib 111 consid 5b pag. 121 e seg.). Il Tribunale non deve pro-</w:t>
      </w:r>
    </w:p>
    <w:p>
      <w:r>
        <w:t>- 6 -</w:t>
      </w:r>
    </w:p>
    <w:p>
      <w:r>
        <w:t>cedere a un esame dei reati e delle norme penali menzionati nella doman- da di assistenza, ma deve semplicemente vagliare, limitandosi a un esame "prima facie", se i fatti addotti nella domanda estera - effettuata la dovuta trasposizione - sarebbero punibili anche secondo il diritto svizzero, ricorda- 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 gislazioni toccate, dalla medesima qualificazione giuridica (DTF 124 II 184 consid. 4b/cc pag. 188).</w:t>
      </w:r>
    </w:p>
    <w:p>
      <w:r>
        <w:rPr>
          <w:b/>
        </w:rPr>
        <w:t>E. 3.2</w:t>
      </w:r>
    </w:p>
    <w:p>
      <w:r>
        <w:t>L'art. 2 lett. a CEAG permette di rifiutare l'assistenza giudiziaria allorquando la domanda si riferisce a reati considerati dalla Parte richiesta come reati fi- 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Tuttavia, si può dar seguito a una domanda in ambito di "altra assistenza" se il procedimento verte su una truffa in materia fiscale. Quest'ultima deve essere interpretata sulla base dell'art. 14 cpv. 2 DPA, disposizione applica- 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2008 128 consid. 5.4). Quando la domanda è presentata per il perseguimento di una truffa fiscale, la Svizzera, in qualità di Stato ri- chiesto, deroga alla regola secondo la quale l'autorità d'esecuzione non deve determinarsi sulla realtà dei fatti (DTF 118 Ib 111 consid. 5b). Pur senza dover fornire prove indiscutibili sulla colpevolezza della persona per- seguita, lo Stato richiedente deve sostanziare l'esistenza di sufficienti so- spetti circa la commissione di una truffa fiscale (DTF 125 II 250 consid. 5b; 118 Ib 111 consid. 5b). Tali particolari esigenze hanno come scopo quello di evitare che le norme ostative all'assistenza in materia economica e fisca- le vengano raggirate (TPF 2007 150 consid. 3.2.4). Lo Stato richiedente non deve necessariamente allegare alla domanda i mezzi di prova. È suffi- ciente ch'esso li indichi e ne renda verosimile l'esistenza (v. sentenza del Tribunale federale 1A.183/1995 del 13 ottobre 1995, consid. 2d, citata da ZIMMERMANN, La coopération judiciaire internationale en matière pénale, 3a ediz., Berna 2009, pag. 599 n. 644 nota 689). Questo vale però solo in am- bito di fiscalità diretta, visto che in base all'art. 50 n. 1 CAS in materia di imposte indirette la distinzione fra evasione e frode fiscale non costituisce</w:t>
      </w:r>
    </w:p>
    <w:p>
      <w:r>
        <w:t>- 7 -</w:t>
      </w:r>
    </w:p>
    <w:p>
      <w:r>
        <w:t>più una discriminante di rilievo in materia di assistenza giudiziaria interna- zionale (v. RUDOLF WYSS, Neuerungen im Bereich der justiziellen Zusam- menarbeit in Strafsachen im Rahmen von Schengen, in S. Breitenmoser/S. Gless/O. Lagodny [ed.], Schengen in der Praxis, Erfahrungen und Ausbli- cke, Zurigo/San Gallo 2009, pag. 338; LAURENT MOREILLON, La coopération judiciaire pénale dans l'Espace Schengen, in Laurent Moreillon [ed.], A- spects pénaux des Accords bilatéraux Suisse/Union européenne, Basilea 2008, pag. 438 e 470 e seg.; ANDREA PEDROLI, Lo scambio di informazioni fiscali (assistenza amministrativa e giudiziaria) negli Accordi bilaterali II, in Accordi bilaterali Svizzera – Unione europea, Atti della giornata di studio del 4 giugno 2007, Commissione ticinese per la formazione permanente dei giuristi [CFPG], Collana rossa vol. 23, Basilea 2009, pag. 76-77).</w:t>
      </w:r>
    </w:p>
    <w:p>
      <w:r>
        <w:rPr>
          <w:b/>
        </w:rPr>
        <w:t>E. 3.3</w:t>
      </w:r>
    </w:p>
    <w:p>
      <w:r>
        <w:t>In concreto, come già esposto in precedenza (v. consid. 2.2 supra), l'autori- tà rogante sospetta che B. si sia appropriata indebitamente di denaro di pertinenza della società H. Srl apparentemente destinato a C., collaborato- re dell'indagata. Se trasposti nel contesto giuridico elvetico, tali atti sareb- bero certamente sussumibili al reato di appropriazione indebita ai sensi dell'art. 138 CP, per cui la doppia punibilità è pacificamente data, tanto più che nel campo della piccola assistenza le misure di cooperazione sono già ammesse se la condizione della doppia punibilità è ossequiata alla luce di una singola fattispecie (sentenza del Tribunale federale 1C_138/2007 del 17 luglio 2007, consid. 2.3 e rinvii). Per quanto attiene alla censura relativa al possibile perseguimento in Italia di reati fiscali a carico dell'indagata, oc- corre rilevare che la decisione impugnata ha correttamente sottolineato come con l'assistenza giudiziaria fornita l'autorità rogante debba rispettare la riserva della specialità. Non essendovi motivi per dubitare che l'Italia non rispetti tale condizione, conformemente a quanto previsto all'art. IV dell'Ac- cordo italo-svizzero, le censure della ricorrente non meritano ulteriore di- samina. Dato che l'art. 646 CP italiano non è chiaramente un reato di natu- ra fiscale non vi è altresì ragione per richiedere le ulteriori allegazioni ri- chieste dalla suddetta giurisprudenza sul perseguimento penale in ambito tributario.</w:t>
      </w:r>
    </w:p>
    <w:p>
      <w:r>
        <w:rPr>
          <w:b/>
        </w:rPr>
        <w:t>E. 4</w:t>
      </w:r>
    </w:p>
    <w:p>
      <w:r>
        <w:t>L'insorgente afferma infine che la procedura estera presenterebbe gravi de- ficienze sul piano procedurale. Contrariamente a quanto affermato dalle au- torità italiane, i reati oggetto delle indagini all'estero non sarebbero perse- guibili d'ufficio, ragione per cui, facendo difetto una querela, la domanda di assistenza sarebbe irricevibile giusta l'art. 2 lett. d AIMP.</w:t>
      </w:r>
    </w:p>
    <w:p>
      <w:r>
        <w:rPr>
          <w:b/>
        </w:rPr>
        <w:t>E. 4.1</w:t>
      </w:r>
    </w:p>
    <w:p>
      <w:r>
        <w:t>L'art. 2 AIMP ha quale scopo di evitare che la Svizzera presti assistenza a procedure che non garantirebbero alla persona perseguita uno standard di protezione minimo corrispondente a quello concesso dal diritto degli Stati</w:t>
      </w:r>
    </w:p>
    <w:p>
      <w:r>
        <w:t>- 8 -</w:t>
      </w:r>
    </w:p>
    <w:p>
      <w:r>
        <w:t>democratici, definito in particolare dalla CEDU e dal Patto ONU II, o che sa- rebbero in contrasto con norme riconosciute come appartenenti all'ordine pubblico internazionale (DTF 123 II 161 consid. 6a; 122 II 140 consid. 5a). L'art. 2 lett. d è sussidiario rispetto alle lettere a, b e c (ZIMMERMANN, op. cit. n. 691 p. 643) La giurisprudenza definisce la nozione di "gravi deficienze" per ogni singolo caso (MOREILLON, Commentaire romand, n. 51 ad art. 2 AIMP). Il Tribunale federale ha già avuto modo di affermare che l'art. 2 AIMP non può essere invocato da persone giuridiche, nella misura in cui queste non possono sostanziare nessun interesse degno di protezione, le- gato alla loro situazione concreta, per prevalersi di una norma destinata avantutto a proteggere l'accusato nella procedura estera (v. DTF 133 IV 40 consid. 7.2; 126 II 258 consid. 2d/aa; 115 Ib 68 consid. 6; ZIMMERMANN, op. cit., n. 691 e n. 681).</w:t>
      </w:r>
    </w:p>
    <w:p>
      <w:r>
        <w:rPr>
          <w:b/>
        </w:rPr>
        <w:t>E. 4.2</w:t>
      </w:r>
    </w:p>
    <w:p>
      <w:r>
        <w:t>Contrariamente a quanto sostenuto dalla ricorrente, agli atti della procedura italiana risulta una querela della persona offesa come richiesto dall'art. 646 comma 1 CP italiano (v. atto 45 incarto MP/TI, più precisamente "l'invito per la presentazione di persona sottoposta ad indagini" del Nucleo di Polizia Tributaria di Trieste), per cui mal si comprende la censura in questione, per tacere del fatto che non spetta al giudice svizzero dell'assistenza adden- trarsi in questioni di diritto penale estero che esulano dalla sua competenza (v. A. DONATSCH/S. HEIMGARTNER/M. SIMONEK, Internationale Rechtshilfe, Zurigo/Basilea/Ginevra 2011, pag. 70). Al di là dell'inconsistenza probatoria e sostanziale della censura in parola, va per altro ribadito che in virtù della giurisprudenza citata al consid. 4.1 in fine, la ricorrente, persona giuridica non indagata nell'ambito della presente procedura, non è comunque legit- timata a prevalersi di censure relative all'art. 2 AIMP, per cui su questo pun- to il ricorso va dichiarato inammissibile.</w:t>
      </w:r>
    </w:p>
    <w:p>
      <w:r>
        <w:rPr>
          <w:b/>
        </w:rPr>
        <w:t>E. 5</w:t>
      </w:r>
    </w:p>
    <w:p>
      <w:r>
        <w:t>In conclusione, la decisione impugnata va integralmente confermata ed il gravame respinto nella misura della sua ammissibilità. Le spese seguono la soccombenza (v. art. 63 cpv. 1 della legge federale sulla procedura ammi- 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