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RR.2012.307 vom 23. Januar 2013</w:t>
      </w:r>
    </w:p>
    <w:p>
      <w:r>
        <w:t>Bundesstrafgericht, 2013-01-23, DE</w:t>
      </w:r>
    </w:p>
    <w:p>
      <w:r>
        <w:rPr>
          <w:b/>
        </w:rPr>
        <w:t xml:space="preserve">Quelle: </w:t>
      </w:r>
      <w:r>
        <w:t>https://mcp.opencaselaw.ch/entscheid/bstger_RR.2012.307</w:t>
      </w:r>
    </w:p>
    <w:p>
      <w:r>
        <w:t>FR: TPF RR.2012.307 du 23 janvier 2013</w:t>
      </w:r>
    </w:p>
    <w:p>
      <w:r>
        <w:t>IT: TPF RR.2012.307 del 23 gennaio 2013</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(ZPII EAUe, SR 0.353.12), welchem beide Staaten bei- getreten sind, sowie der Vertrag vom 13. November 1969 zwischen der Schweizerischen Eidgenossenschaft und der Bundesrepublik Deutschland über die Ergänzung des EAUe und die Erleichterung seiner Anwendung (ZV EAUe, SR 0.353.913.61) massgebend. Ausserdem gelangen die Be- 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 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Dies gilt auch im Verhältnis zum SDÜ (Art. 1 Abs. 1 lit. a IRSG). Das innerstaatliche Recht gelangt nach dem Günstigkeitsprinzip auch dann zur Anwendung, wenn dieses geringere Anforderungen an die Auslieferung stellt (BGE 137 IV 33</w:t>
      </w:r>
    </w:p>
    <w:p>
      <w:r>
        <w:t>- 4 -</w:t>
      </w:r>
    </w:p>
    <w:p>
      <w:r>
        <w:t>E. 2.2.2 S. 40 f.; 136 IV 82 E. 3.1; 122 II 140 E. 2 S. 142). Vorbehalten bleibt die Wahrung der Menschenrechte (BGE 135 IV 212 E. 2.3; 123 II 595 E. 7c S. 616).</w:t>
      </w:r>
    </w:p>
    <w:p>
      <w:r>
        <w:rPr>
          <w:b/>
        </w:rPr>
        <w:t>E. 2.1</w:t>
      </w:r>
    </w:p>
    <w:p>
      <w:r>
        <w:t>Gegen Auslieferungsentscheide des BJ kann innerhalb von 30 Tagen nach Eröffnung des Entscheids bei der Beschwerdekammer des Bundesstrafge- richts Beschwerde geführt werden (Art. 55 Abs. 3 i.V.m. Art. 25 Abs. 1 IRSG; Art. 12 Abs. 1 IRSG i.V.m. Art. 50 Abs. 1 VwVG). Die Frist beginnt an dem auf ihre Mitteilung folgenden Tage zu laufen (Art. 20 Abs. 1 VwVG).</w:t>
      </w:r>
    </w:p>
    <w:p>
      <w:r>
        <w:rPr>
          <w:b/>
        </w:rPr>
        <w:t>E. 2.2</w:t>
      </w:r>
    </w:p>
    <w:p>
      <w:r>
        <w:t>Der angefochtene Entscheid wurde dem Vertreter des Beschwerdeführers am 22. November 2012 eröffnet (vgl. act. 8.16). Die gesetzliche Beschwer- defrist begann somit am 23. November 2012 zu laufen und ihr letzter Tag war der Samstag, 22. Dezember 2012. Gemäss Art. 20 Abs. 3 VwVG ende- te die Frist daher erst am dem 22. Dezember 2012 nächstfolgenden Werk- tag, mithin am 24. Dezember 2012, nachdem es sich beim Heiligabend nicht um einen vom Bundesrecht oder vom kantonalen Recht anerkannten Feiertag handelt (vgl. hierzu § 6 des Einführungsgesetzes zum Arbeitsrecht des Kantons Aargau vom 8. November 2011 [EG ArR/AG; SAR 961.200]).</w:t>
      </w:r>
    </w:p>
    <w:p>
      <w:r>
        <w:t>Die vom Bundesgericht an die Beschwerdekammer weitergeleitete Eingabe (act. 1) erweist sich nach dem Gesagten in jedem Fall als fristgerecht. Die letzte, erst nach Ablauf der Beschwerdefrist vom Beschwerdeführer ver- fasste Eingabe (act. 10) muss jedoch unberücksichtigt bleiben. Der Be- schwerdeführer kann sich diesbezüglich auch nicht auf die angebliche (zu- dem unzutreffende) Fristbestimmung durch seinen Vertreter berufen (so in act. 5), nachdem er von Seiten des Beschwerdegegners explizit auf den Ablauf der Frist am 24. Dezember 2012 hingewiesen worden ist (vgl. eben- so act. 5). Von Seiten der Beschwerdekammer wurde dem Beschwerdefüh- rer auf entsprechendes Gesuch hin zudem mitgeteilt, dass die gesetzliche Beschwerdefrist nicht erstreckt werden könne (act. 7).</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RR.2012.229 vom 23. Oktober 2012, E. 3; RR.2012.40 vom 23. August 2012, E. 5).</w:t>
      </w:r>
    </w:p>
    <w:p>
      <w:r>
        <w:t>- 5 -</w:t>
      </w:r>
    </w:p>
    <w:p>
      <w:r>
        <w:rPr>
          <w:b/>
        </w:rPr>
        <w:t>E. 4</w:t>
      </w:r>
    </w:p>
    <w:p>
      <w:r>
        <w:t>Der Beschwerdeführer bringt wie schon im Beschwerdeverfahren gegen den Auslieferungshaftbefehl zur Hauptsache erneut vor, dass er nicht Staatsbürger der Bundesrepublik Deutschland (nachfolgend "BRD"), son- dern Staatsangehöriger des Deutschen Reichs sei, und liess in seiner Stel- lungnahme zum Auslieferungsersuchen diesbezüglich ausführen, es fehle diesem an den in Art. 12 Ziff. 2 lit. c EAUe geforderten möglichst genauen Beschreibung des Verfolgten und an allen anderen zur Feststellung seiner Identität und Staatsangehörigkeit geeigneten Angaben. Die vom Be- schwerdeführer gemachten Ausführungen zu seiner Staatsbürgerschaft des Deutschen Reichs sind – wie auch die von ihm gemachten Bestreitun- gen der völkerrechtlichen Existenzberechtigung der BRD bzw. der Legitimi- tät von deren Behörden – abwegig (siehe hierzu auch schon das Urteil des Bundesgerichts 6B_435/2012 vom 19. September 2012, E. 1; siehe auch die Entscheide des Bundesstrafgerichts RH.2012.14 vom 12. Novem- ber 2012, E. 4.2; RH.2012.13 vom 29. Oktober 2012, E. 4.2). Nachdem er selbst anlässlich seiner Einvernahme vom 30. Oktober 2012 bestätigt hat, abgesehen von der Bezeichnung "deutscher Staatsangehöriger" mit der im Auslieferungsersuchen bezeichneten Person identisch zu sein (vgl. act. 8.13), erübrigen sich Weiterungen hierzu.</w:t>
      </w:r>
    </w:p>
    <w:p>
      <w:r>
        <w:rPr>
          <w:b/>
        </w:rPr>
        <w:t>E. 5.1</w:t>
      </w:r>
    </w:p>
    <w:p>
      <w:r>
        <w:t>Gemäss Art. 2 Ziff. 1 EAUe wird ausgeliefert wegen Handlungen, die so- wohl nach dem Recht des ersuchenden als auch nach dem des ersuchten Staates mit einer Freiheitsstrafe im Höchstmass von mindestens einem Jahr oder mit einer schwereren Strafe bedroht sind. Ist im Hoheitsgebiet des ersuchenden Staats eine Verurteilung zu einer Strafe erfolgt, so muss deren Mass mindestens vier Monate betragen. Gemäss Art. II Abs. 1 ZV EAUe wird eine Auslieferung auch dann gewährt, wenn das Mass einer noch zu vollstreckenden Strafe mindestens drei Monate beträgt.</w:t>
      </w:r>
    </w:p>
    <w:p>
      <w:r>
        <w:rPr>
          <w:b/>
        </w:rPr>
        <w:t>E. 5.2</w:t>
      </w:r>
    </w:p>
    <w:p>
      <w:r>
        <w:t>Das Erfordernis der doppelten Strafbarkeit wurde vom Beschwerdegegner im Rahmen des angefochtenen Entscheides geprüft und bejaht (act. 8.15, Ziff. II.4.1). Die entsprechenden Ausführungen sind schlüssig und werden vom Beschwerdeführer auch in keiner Weise bestritten, weshalb an dieser Stelle darauf verwiesen werden kann. Sofern der Beschwerdeführer mit seinen lediglich pauschal erhobenen Einreden, er sei in Deutschland zu Unrecht verurteilt worden (act. 1) bzw. die "beiden Konstrukte der Staats- anwaltschaften in Konstanz und Kempten habe er nicht verbrochen" (act. 5), den dem Urteil bzw. dem Auslieferungsersuchen zu Grunde lie-</w:t>
      </w:r>
    </w:p>
    <w:p>
      <w:r>
        <w:t>- 6 -</w:t>
      </w:r>
    </w:p>
    <w:p>
      <w:r>
        <w:t>genden Sachverhalt bzw. Tatfragen bestreitet, so ist er damit ohnehin nicht zu hören (vgl. hierzu BGE 132 II 81 E. 2.1 S. 85; Urteil des Bundesgerichts 1A.1/2008 vom 7. Oktober 2008, E. 2.2; Entscheid des Bundesstrafgerichts RR.2011.183 vom 26. September 2011, E. 3.2).</w:t>
      </w:r>
    </w:p>
    <w:p>
      <w:r>
        <w:rPr>
          <w:b/>
        </w:rPr>
        <w:t>E. 5.3</w:t>
      </w:r>
    </w:p>
    <w:p>
      <w:r>
        <w:t>Im Rahmen seiner Stellungnahme zum Auslieferungsersuchen liess der Beschwerdeführer ausführen, die dem Ersuchen zu Grunde liegenden Ur- teile seien unter krass fehlerhafter Anwendung des materiellen Rechts er- gangen, indem das Oberlandesgericht München bei der Beurteilung der dem Beschwerdeführer zur Last gelegten Taten die Gewerbsmässigkeit verworfen habe, ohne das Strafmass anzupassen.</w:t>
      </w:r>
    </w:p>
    <w:p>
      <w:r>
        <w:t>Diesbezüglich ist anzumerken, dass es nicht in den Zuständigkeitsbereich der schweizerischen Auslieferungsbehörden fällt, die vom Gericht des er- suchenden Staates vorgenommene Strafzumessung zu überprüfen. Schwere Mängel des ausländischen Verfahrens macht der Beschwerdefüh- rer damit – trotz seiner diesbezüglichen Obliegenheit (siehe BGE 130 II 217 E. 8.1; 129 II 268 E. 6.1) – keine glaubhaft.</w:t>
      </w:r>
    </w:p>
    <w:p>
      <w:r>
        <w:rPr>
          <w:b/>
        </w:rPr>
        <w:t>E. 5.4</w:t>
      </w:r>
    </w:p>
    <w:p>
      <w:r>
        <w:t>Sind wie im vorliegenden Fall die Voraussetzungen zur Auslieferung nach dem EAUe erfüllt, ist die Schweiz gemäss Art. 1 EAUe zur Auslieferung verpflichtet und kann sie nicht unter Berufung auf staatsvertraglich nicht vorgesehene Gründe ablehnen. Das Vorbringen des Beschwerdeführers, seine Präsenz in der Schweiz sei zur Unterstützung seiner Lebensgefährtin erforderlich, beinhaltet keinen staatsvertraglichen Ablehnungsgrund und ist daher nicht zu hören.</w:t>
      </w:r>
    </w:p>
    <w:p>
      <w:r>
        <w:rPr>
          <w:b/>
        </w:rPr>
        <w:t>E. 5.5</w:t>
      </w:r>
    </w:p>
    <w:p>
      <w:r>
        <w:t>Der Beschwerdeführer ersuchte verschiedentlich um Entlassung aus der Auslieferungshaft, unterliess es jedoch, Gründe anzuführen, welche für ei- ne Haftentlassung sprechen würden. Dass sich die Auslieferung des Be- schwerdeführers nach Art. 51 Abs. 1 IRSG als offensichtlich unzulässig er- weist, wurde mit den oben stehenden Erwägungen widerlegt.</w:t>
      </w:r>
    </w:p>
    <w:p>
      <w:r>
        <w:rPr>
          <w:b/>
        </w:rPr>
        <w:t>E. 6</w:t>
      </w:r>
    </w:p>
    <w:p>
      <w:r>
        <w:t>Nach dem Gesagten erweist sich die Auslieferung des Beschwerdeführers an Deutschland offensichtlich als zulässig bzw. dessen Beschwerde er- weist sich als zum vornherein unbegründet, weshalb Letztere – ohne Schriftenwechsel (Art. 57 Abs. 1 VwVG e contrario i.V.m. Art. 39 Abs. 2 lit. b StBOG) – abzuweisen ist.</w:t>
      </w:r>
    </w:p>
    <w:p>
      <w:r>
        <w:t>- 7 -</w:t>
      </w:r>
    </w:p>
    <w:p>
      <w:r>
        <w:rPr>
          <w:b/>
        </w:rPr>
        <w:t>E. 7</w:t>
      </w:r>
    </w:p>
    <w:p>
      <w:r>
        <w:t>Bei diesem Ausgang des Verfahrens hat der Beschwerdeführer die Ge- richtskosten selber zu tragen (Art. 63 Abs. 1 VwVG i.V.m. Art. 39 Abs. 2 lit. b StBOG). Die Gerichtsgebühr ist auf Fr. 3'000.-- festzusetzen (Art. 5 und 8 Abs. 3 lit. a des Reglements des Bundesstrafgerichts vom 31. Au- gust 2010 über die Kosten, Gebühren und Entschädigungen in Bundes- strafverfahren [BStKR, SR 173.713.162] i.V.m. Art. 63 Abs. 5 VwVG und Art. 73 StBOG).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