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RR.2012.30 vom 14. März 2012</w:t>
      </w:r>
    </w:p>
    <w:p>
      <w:r>
        <w:t>Bundesstrafgericht, 2012-03-14, FR</w:t>
      </w:r>
    </w:p>
    <w:p>
      <w:r>
        <w:rPr>
          <w:b/>
        </w:rPr>
        <w:t xml:space="preserve">Quelle: </w:t>
      </w:r>
      <w:r>
        <w:t>https://mcp.opencaselaw.ch/entscheid/bstger_RR.2012.30</w:t>
      </w:r>
    </w:p>
    <w:p>
      <w:r>
        <w:t>FR: TPF RR.2012.30 du 14 mars 2012</w:t>
      </w:r>
    </w:p>
    <w:p>
      <w:r>
        <w:t>IT: TPF RR.2012.30 del 14 marzo 2012</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 s’appliquent également à l’entraide pénale entre ces deux Etats. Les dispo- sitions de ces traités l’emportent sur le droit autonome qui régit la matière, soit la loi sur l’entraide pénale internationale (EIMP; RS 351.1) et son or- 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w:t>
      </w:r>
    </w:p>
    <w:p>
      <w:r>
        <w:t>- 4 -</w:t>
      </w:r>
    </w:p>
    <w:p>
      <w:r>
        <w:t>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Déposés à un bureau de poste suisse le 20 février 2012, les recours contre des décisions notifiées le 20 janvier 2012 ont été interjetés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du compte no 2, la société B. a qualité pour recourir contre la transmission des pièces s’y rapportant. Revêtant de son côté cette qualité s’agissant du compte no 1, la société A. a qualité pour recourir contre la transmission des pièces s’y rapportant.</w:t>
      </w:r>
    </w:p>
    <w:p>
      <w:r>
        <w:rPr>
          <w:b/>
        </w:rPr>
        <w:t>E. 1.4</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EIMP et 39 al. 2 let. c LOAP, l’institution de la jonc- tion des causes est néanmoins admise en pratique (v. arrêts du Tribunal pénal fédéral RR.2008.190 du 26 février 2009, consid. 1; RR.2008.216 + RR.2008.225-230 du 20 novembre 2008, consid. 1.2; MO- SER/BEUSCH/KNEUBÜHLER, Prozessieren vor dem Bundesverwaltungsge- richt, Bâle 2008, § 3.17, p. 115). En l’espèce, il se justifie de joindre les causes des deux recourantes, ce d’autant que ces dernières ne font pas valoir d’intérêts contradictoires qui commanderaient un prononcé séparé, qu’elles sont représentées par le même avocat et qu’elles invoquent en tous points les mêmes arguments.</w:t>
      </w:r>
    </w:p>
    <w:p>
      <w:r>
        <w:rPr>
          <w:b/>
        </w:rPr>
        <w:t>E. 2</w:t>
      </w:r>
    </w:p>
    <w:p>
      <w:r>
        <w:t>Les recourantes se plaignent d’abord d’une violation du principe de la pro- portionnalité. Elles estiment que «[…] la documentation que le Ministère</w:t>
      </w:r>
    </w:p>
    <w:p>
      <w:r>
        <w:t>- 5 -</w:t>
      </w:r>
    </w:p>
    <w:p>
      <w:r>
        <w:t>public souhaiterait transmettre aux autorités espagnoles ne fera pas pro- gresser l’enquête» (act. 1, p. 7).</w:t>
      </w:r>
    </w:p>
    <w:p>
      <w:r>
        <w:rPr>
          <w:b/>
        </w:rPr>
        <w:t>E. 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w:t>
      </w:r>
    </w:p>
    <w:p>
      <w:r>
        <w:t>- 6 -</w:t>
      </w:r>
    </w:p>
    <w:p>
      <w:r>
        <w:t>de la documentation bancaire découle du fait que l’autorité requérante peut vouloir vérifier que les agissements qu’elle connaît déjà n’ont pas été pré- cédés ou suivis d’autres actes du même genre (cf. arrêts du Tribunal fédé- ral 1A.259/2006 du 26 janvier 2007, consid. 2.2; 1A.75/2006 du 20 juin 2006, consid. 3.2; 1A.79/2005 du 27 avril 2005, consid. 4.2; 1A.59/2005 du 26 avril 2005, consid. 6.2).</w:t>
      </w:r>
    </w:p>
    <w:p>
      <w:r>
        <w:rPr>
          <w:b/>
        </w:rPr>
        <w:t>E. 2.2</w:t>
      </w:r>
    </w:p>
    <w:p>
      <w:r>
        <w:t>L’autorité requérante enquête sur les agissements de C. (v. supra let. A), soupçonné d’avoir mis en place un vaste réseau de sociétés dans le but de blanchir des bénéfices obtenus de manière illicite en Espagne, notamment par le biais de contrats avec certaines administrations publiques. Lesdits contrats auraient été conclus ensuite d’actes de corruption prenant la forme de remise d’argent et de cadeaux à des responsables politiques impliqués dans l’octroi de marchés publics (dossier MPC, classeur vert «rubrique 1», onglet «RHE 11.04.2011», traduction, p. 2; ibidem, onglet «RHE 24.09.2009», traduction, p. 1). Une partie au moins des valeurs patrimonia- les ainsi obtenues en exécution de ces contrats aurait ensuite transité par ledit réseau de sociétés – dont certaines situées à l’étranger –, avant d’être réinjectée dans le circuit financier espagnol. Pareils agissements, s’ils de- vaient être confirmés, tomberaient en droit suisse sous le coup de l’art. 305bis CP réprimant le blanchiment d’argent (v. ATF 137 IV 79 consid. 3.2 in fine).</w:t>
      </w:r>
    </w:p>
    <w:p>
      <w:r>
        <w:t>Cela étant, l’autorité requérante soupçonne F. d’avoir été l’un des princi- paux collaborateurs de C. et d’avoir fondé, respectivement géré plusieurs sociétés servant à occulter l’origine réelle des fonds acquis de manière illi- cite (v. supra let. B; dossier MPC, classeur vert «rubrique 1», onglet «RHE 11.04.2011», traduction, p. 5 ch. 3). Ladite autorité a des raisons de soup- çonner qu’une partie de ces montants aurait transité par les comptes ou- verts au nom des sociétés G., H. et I. (ibidem), lesquelles pourraient ainsi avoir joué un rôle dans la chaîne des entités formant le réseau susmen- tionné (ibidem).</w:t>
      </w:r>
    </w:p>
    <w:p>
      <w:r>
        <w:rPr>
          <w:b/>
        </w:rPr>
        <w:t>E. 2.2.1</w:t>
      </w:r>
    </w:p>
    <w:p>
      <w:r>
        <w:t>L’exécution de la demande d’entraide a révélé que des versements opérés sur les comptes des sociétés G., H. et I. provenaient notamment des comp- tes des recourantes susmentionnés. Or, aux termes de la demande d’entraide et de ses compléments (dossier MPC, classeur vert «rubrique 1», onglet «RHE 11.04.2011», traduction, p. 5 ch. 3), les sociétés en ques- tion auraient précisément été fondées et gérées «dans le but de cacher l’origine et l’authentique titulaire desdits fonds et cacher aussi les fonds pouvant avoir un lien avec des personnes occupant des postes publics». De plus, F., soupçonné par les autorités de poursuite de l’Etat requérant</w:t>
      </w:r>
    </w:p>
    <w:p>
      <w:r>
        <w:t>- 7 -</w:t>
      </w:r>
    </w:p>
    <w:p>
      <w:r>
        <w:t>d’être l’un des principaux collaborateurs de C. – à l’encontre duquel les in- vestigations sont notamment dirigées (v. supra let. A et B) –, figure comme l’ayant droit économique des comptes des recourantes, qui plus est au bé- néfice d’un pouvoir de signature sur ces derniers. Dans ces conditions, force est d’admettre qu’il existe un rapport objectif entre les recourantes, respectivement les comptes litigieux, d’une part, et les infractions faisant l’objet de l’investigation espagnole, d’autre part. Le fait que l’enquête des autorités espagnoles ne soit pas formellement dirigée contre les sociétés G., H. et I., ou encore que les recourantes ne soient pas expressément mentionnées dans la demande d’entraide espagnole, ne saurait constituer un obstacle à l’entraide. S’agissant des demandes relatives à des informa- 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exécutant toute mesure pré- sentant un rapport suffisant avec l’enquête pénale à l’étranger (ATF 129 II 462 consid. 5.3; arrêts du Tribunal fédéral 1A.189/2006 du 7 février 2007, consid. 3.1; 1A.72/2006 du 13 juillet 2006, consid. 3.1).</w:t>
      </w:r>
    </w:p>
    <w:p>
      <w:r>
        <w:rPr>
          <w:b/>
        </w:rPr>
        <w:t>E. 2.2.2</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de blan- chiment mis en place par les personnes sous enquête en Espagne.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w:t>
      </w:r>
    </w:p>
    <w:p>
      <w:r>
        <w:t>- 8 -</w:t>
      </w:r>
    </w:p>
    <w:p>
      <w:r>
        <w:t>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rPr>
          <w:b/>
        </w:rPr>
        <w:t>E. 2.2.3</w:t>
      </w:r>
    </w:p>
    <w:p>
      <w:r>
        <w:t>En l’espèce, l’autorité d’exécution entend transmettre la documentation d’ouverture des comptes des recourantes, ainsi que les justificatifs de di- verses transactions opérées au cours des années 2005 à 2009 – soit une période correspondant à celle des faits sous enquête en Espagne (dossier MPC, classeur vert «rubrique 1», onglet «RHE 11.04.2011», traduction, p. 3 s.) – par les recourantes, à propos desquelles il vient d’être vu qu’elles pourraient, par l’utilisation de comptes bancaires dont elles sont titulaires, avoir joué un rôle au sein du réseau mis en place par les inculpés (v. supra consid. 2.2.1). Sur le vu des considérations qui précèdent, force est de constater que l’autorité d’exécution n’a pas violé le principe de la propor- tionnalité en allant au-delà de la requête espagnole, étant rappelé que pa- reil mode de procéder permet aussi d’éviter d’éventuelles demandes d’entraide complémentaires (v. supra consid. 2.1).</w:t>
      </w:r>
    </w:p>
    <w:p>
      <w:r>
        <w:t>Il s’ensuit que le grief tiré de la violation du principe de la proportionnalité n’est pas fondé et doit être rejeté.</w:t>
      </w:r>
    </w:p>
    <w:p>
      <w:r>
        <w:rPr>
          <w:b/>
        </w:rPr>
        <w:t>E. 3</w:t>
      </w:r>
    </w:p>
    <w:p>
      <w:r>
        <w:t>Dans un dernier grief, les recourantes invoquent le principe de la spécialité qui interdit une utilisation des renseignements transmis pour la répression de délits qui ne seraient pas assimilables à une escroquerie fiscale. Elles craignent que les informations les concernant soient utilisées à leur en- contre par l’administration fiscale espagnole (act. 1, p. 7).</w:t>
      </w:r>
    </w:p>
    <w:p>
      <w:r>
        <w:rPr>
          <w:b/>
        </w:rPr>
        <w:t>E. 3.1</w:t>
      </w:r>
    </w:p>
    <w:p>
      <w:r>
        <w:t>Selon l’art. 67 al. 1 EIMP et la réserve faite par la Suisse à l’art. 2 let. b CEEJ, les renseignements transmis ne peuvent, dans l’Etat requérant, ni être utilisés aux fins d’investigation, ni être produits comme moyens de</w:t>
      </w:r>
    </w:p>
    <w:p>
      <w:r>
        <w:t>- 9 -</w:t>
      </w:r>
    </w:p>
    <w:p>
      <w:r>
        <w:t>preuve dans une procédure pénale visant une infraction pour laquelle l’en- traide est exclue, soit notamment pour la répression d’infractions politiques, militaires ou fiscales (art. 3 EIMP et 2 let. a CEEJ; ATF 126 II 316 consid. 2b; 125 II 258 consid. 7a/aa; 124 II 184 consid. 4b, et les arrêts ci- tés).</w:t>
      </w:r>
    </w:p>
    <w:p>
      <w:r>
        <w:rPr>
          <w:b/>
        </w:rPr>
        <w:t>E. 3.2</w:t>
      </w:r>
    </w:p>
    <w:p>
      <w:r>
        <w:t>In casu, l’autorité d’exécution a pris soin, dans les décisions attaquées, de réserver le principe de la spécialité, ce qui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 la Suisse accepte de se lier en matière d’entraide, se conforment à leurs engagements internationaux sans qu’il soit nécessaire de le leur faire pré- ciser dans une déclaration expresse (ATF 115 Ib 373 consid. 8; 107 Ib 264 consid. 4b et les références citées; arrêt du Tribunal fédéral 1C_103/2012 du 17 février 2012, consid. 2.3).</w:t>
      </w:r>
    </w:p>
    <w:p>
      <w:r>
        <w:t>Infondé, le grief tiré de la violation du principe de la spécialité ne peut être que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recourantes supporteront ainsi les frais du pré- sent arrêt, réduits du fait de la jonction des causes et fixés à CHF 6’000.-- (art. 73 al. 2 LOAP et art. 8 al. 3 du règlement du Tribunal pénal fédéral sur les frais, émoluments, dépens et indemnités de la procédure pénale fédé- rale [RFPPF; RS 173.713.162] et art. 63 al. 5 PA). Les parties ayant versé un total de CHF 8’000.-- à titre d’avance de frais, l’émolument du présent arrêt est couvert par celle-ci et la caisse du Tribunal pénal fédéral leur resti- tuera le solde par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