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RR.2012.291 vom 16. Januar 2013</w:t>
      </w:r>
    </w:p>
    <w:p>
      <w:r>
        <w:t>Bundesstrafgericht, 2013-01-16, DE</w:t>
      </w:r>
    </w:p>
    <w:p>
      <w:r>
        <w:rPr>
          <w:b/>
        </w:rPr>
        <w:t xml:space="preserve">Quelle: </w:t>
      </w:r>
      <w:r>
        <w:t>https://mcp.opencaselaw.ch/entscheid/bstger_RR.2012.291</w:t>
      </w:r>
    </w:p>
    <w:p>
      <w:r>
        <w:t>FR: TPF RR.2012.291 du 16 janvier 2013</w:t>
      </w:r>
    </w:p>
    <w:p>
      <w:r>
        <w:t>IT: TPF RR.2012.291 del 16 gennaio 2013</w:t>
      </w:r>
    </w:p>
    <w:p>
      <w:pPr>
        <w:pStyle w:val="Heading2"/>
      </w:pPr>
      <w:r>
        <w:t>Regeste</w:t>
      </w:r>
    </w:p>
    <w:p>
      <w:r>
        <w:t>Internationale Rechtshilfe in Strafsachen an Deutschland. Beschlagnahme von Vermögenswerten (Art. 80e Abs. 2 lit. a IRSG). Aufschiebende Wirkung (Art. 80l IRSG).</w:t>
      </w:r>
    </w:p>
    <w:p>
      <w:pPr>
        <w:pStyle w:val="Heading2"/>
      </w:pPr>
      <w:r>
        <w:t>Erwägungen</w:t>
      </w:r>
    </w:p>
    <w:p>
      <w:r>
        <w:rPr>
          <w:b/>
        </w:rPr>
        <w:t>E. 1.1</w:t>
      </w:r>
    </w:p>
    <w:p>
      <w:r>
        <w:t>Für die Rechtshilfe zwischen Deutschland und der Schweiz sind in erster Linie das Europäische Übereinkommen vom 20. April 1959 über die Rechtshilfe in Strafsachen (EUeR, SR 0.351.1) sowie der Vertrag vom 13. November 1969 zwischen der Schweizerischen Eidgenossenschaft und</w:t>
      </w:r>
    </w:p>
    <w:p>
      <w:r>
        <w:t>- 3 -</w:t>
      </w:r>
    </w:p>
    <w:p>
      <w:r>
        <w:t>der Bundesrepublik Deutschland über die Ergänzung des EUeR und die Er- leichterung seiner Anwendung (ZV EUeR, SR 0.351.913.61) massgebend. Überdies gelangen die Bestimmungen der Art. 48 ff. des Übereinkommens vom 19. Juni 1990 zur Durchführung des Übereinkommens von Schengen vom 14. Juni 1985 (Schengener Durchführungsübereinkommen, SDÜ; Abl. L 239 vom 22. September 2000, S. 19 – 62) zur Anwendung, wobei die zwischen den Vertragsparteien geltenden weitergehenden Bestimmungen aufgrund bilateraler Abkommen unberührt bleiben (Art. 48 Abs. 2 SDÜ).</w:t>
      </w:r>
    </w:p>
    <w:p>
      <w:r>
        <w:rPr>
          <w:b/>
        </w:rPr>
        <w:t>E. 1.2</w:t>
      </w:r>
    </w:p>
    <w:p>
      <w:r>
        <w:t>Soweit das Staatsvertragsrecht bestimmte Fragen nicht abschliessend re- gelt, gelangen das Bundesgesetz vom 20. März 1981 (Rechtshilfegesetz, IRSG; SR 351.1) und die Verordnung vom 24. Februar 1982 über internati- onale Rechtshilfe in Strafsachen (Rechtshilfeverordnung, IRSV; SR 351.11) zur Anwendung (Art. 1 Abs. 1 IRSG). Das innerstaatliche Recht gilt nach dem Günstigkeitsprinzip auch dann, wenn dieses geringere Anforderungen an die Rechtshilfe stellt (BGE 137 IV 33 E. 2.2.2 S. 40 f.; 136 IV 82 E. 3.1; 122 II 140 E. 2 S. 142). Vorbehalten bleibt die Wahrung der Menschenrech- te (BGE 135 IV 212 E. 2.3; 123 II 595 E. 7c S. 617).</w:t>
      </w:r>
    </w:p>
    <w:p>
      <w:r>
        <w:rPr>
          <w:b/>
        </w:rPr>
        <w:t>E. 2.1</w:t>
      </w:r>
    </w:p>
    <w:p>
      <w:r>
        <w:t>Der Schlussverfügung vorangehende Zwischenverfügungen können bei der Beschwerdekammer des Bundesstrafgerichts nur ausnahmsweise selb- ständig angefochten werden, sofern sie durch die Beschlagnahme von Vermögenswerten und Wertgegenständen oder durch die Anwesenheit von am ausländischen Prozess beteiligten Personen einen unmittelbaren und nicht wieder gutzumachenden Nachteil bewirken (Art. 80e Abs. 2 IRSG). Zur Beschwerdeführung ist berechtigt, wer persönlich und direkt von einer Rechtshilfemassnahme betroffen ist und ein schutzwürdiges Interesse an deren Aufhebung oder Änderung hat (Art. 80h lit. b IRSG). Die Beschwer- defrist gegen eine Zwischenverfügung beträgt zehn Tage ab der schriftli- chen Mitteilung der Verfügung (Art. 80k IRSG).</w:t>
      </w:r>
    </w:p>
    <w:p>
      <w:r>
        <w:rPr>
          <w:b/>
        </w:rPr>
        <w:t>E. 2.2</w:t>
      </w:r>
    </w:p>
    <w:p>
      <w:r>
        <w:t>Richtet sich die Beschwerde wie vorliegend gegen eine Zwischenverfü- gung, so muss die beschwerdeführende Person nach der bundesgerichtli- chen Rechtsprechung mit konkreten Angaben glaubhaft machen, inwiefern die rechtshilfeweise Beschlagnahme von Vermögenswerten bzw. die Ver- weigerung einer Teilfreigabe zu einem nicht wieder gutzumachenden Nach- teil führt. In Betracht kommen insbesondere drohende Verletzungen von konkreten vertraglichen Verpflichtungen, unmittelbar bevorstehende Betrei- bungsschritte, der drohende Entzug von behördlichen Bewilligungen oder das Entgehen von konkreten Geschäften. Die bloss abstrakte Möglichkeit, dass sich eine Kontosperre negativ auf die Geschäftstätigkeit der rechtsu-</w:t>
      </w:r>
    </w:p>
    <w:p>
      <w:r>
        <w:t>- 4 -</w:t>
      </w:r>
    </w:p>
    <w:p>
      <w:r>
        <w:t>chenden Person auswirken könnte, ist hingegen für die Annahme eines nicht wieder gutzumachenden Nachteils im Sinne von Art. 80e Ziff. 2 lit. a IRSG grundsätzlich nicht ausreichend. Der drohende unmittelbare und nicht wieder gutzumachende Nachteil muss glaubhaft gemacht werden; die blosse Behauptung eines solchen Nachteils genügt nicht (zum Ganzen BGE 130 II 329 E. 2 S. 332; 128 II 353 E. 3 S. 354 m.w.H.; siehe zuletzt u. a. auch die Entscheide des Bundesstrafgerichts RR.2012.2 vom 15. Mai 2012, E. 2.3; RR.2011.314 vom 9. Mai 2012, E. 3.2).</w:t>
      </w:r>
    </w:p>
    <w:p>
      <w:r>
        <w:rPr>
          <w:b/>
        </w:rPr>
        <w:t>E. 2.3</w:t>
      </w:r>
    </w:p>
    <w:p>
      <w:r>
        <w:t>Die Beschwerdeführer führen unter Bezugnahme auf diese Rechtspre- chung lediglich aus, die "Beschwerdeführerin" (gemeint ist jedoch offen- sichtlich die nicht als Beschwerdeführerin auftretende E. AG; vgl. act. 1.5) könne aufgrund der angefochtenen Verfügung zum Beispiel ihre Subunter- nehmerin H. nicht bezahlen oder auch zwei Kostenvorschüsse für die Ein- tragung von Bauhandwerkerpfandrechten nicht leisten (act. 1, S. 2).</w:t>
      </w:r>
    </w:p>
    <w:p>
      <w:r>
        <w:t>Inwiefern die Beschwerdeführer durch die angefochtene Verfügung selber persönlich und direkt einen unmittelbaren und nicht wieder gutzumachen- den Nachteil erleiden, wird von diesen nirgends erwähnt, geschweige denn glaubhaft gemacht. Wie die angeführte E. AG durch die angefochtene Ver- fügung solche Nachteile erleiden sollte, obwohl keinerlei dieser direkt zuzu- rechnende Vermögenswerte gesperrt worden sind, bleibt unerfindlich.</w:t>
      </w:r>
    </w:p>
    <w:p>
      <w:r>
        <w:rPr>
          <w:b/>
        </w:rPr>
        <w:t>E. 2.4</w:t>
      </w:r>
    </w:p>
    <w:p>
      <w:r>
        <w:t>Nach dem Gesagten erweist sich die Beschwerde als offensichtlich unzu- lässig, weshalb auf diese ohne Durchführung eines Schriftenwechsels (Art. 57 Abs. 1 VwVG e contrario i.V.m. Art. 39 Abs. 2 lit. b StBOG) nicht einzutreten ist.</w:t>
      </w:r>
    </w:p>
    <w:p>
      <w:r>
        <w:rPr>
          <w:b/>
        </w:rPr>
        <w:t>E. 3</w:t>
      </w:r>
    </w:p>
    <w:p>
      <w:r>
        <w:t>Mit dem Entscheid in der Sache selbst werden die Gesuche um Erteilung der aufschiebenden Wirkung gegenstandslos. Diese sind als erledigt von der Geschäftskontrolle abzuschreiben.</w:t>
      </w:r>
    </w:p>
    <w:p>
      <w:r>
        <w:rPr>
          <w:b/>
        </w:rPr>
        <w:t>E. 4</w:t>
      </w:r>
    </w:p>
    <w:p>
      <w:r>
        <w:t>Bei diesem Ausgang des Verfahrens werden die Beschwerdeführer kos- tenpflichtig (Art. 63 Abs. 1 VwVG i.V.m. Art. 39 Abs. 2 lit. b StBOG). Die Gerichtsgebühr wird auf Fr. 500.-- festgesetzt (Art. 63 Abs. 5 VwVG i.V.m. Art. 73 StBOG und Art. 5 und 8 Abs. 1 des Reglements des Bundesstrafge- richts vom 31. August 2010 über die Kosten, Gebühren und Entschädigun- gen in Bundesstrafverfahren [BStKR; SR 173.713.162]), unter Anrechnung des geleisteten Kostenvorschusses in derselben Höhe.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