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RR.2012.290 vom 16. Januar 2013</w:t>
      </w:r>
    </w:p>
    <w:p>
      <w:r>
        <w:t>Bundesstrafgericht, 2013-01-16, DE</w:t>
      </w:r>
    </w:p>
    <w:p>
      <w:r>
        <w:rPr>
          <w:b/>
        </w:rPr>
        <w:t xml:space="preserve">Quelle: </w:t>
      </w:r>
      <w:r>
        <w:t>https://mcp.opencaselaw.ch/entscheid/bstger_RR.2012.290</w:t>
      </w:r>
    </w:p>
    <w:p>
      <w:r>
        <w:t>FR: TPF RR.2012.290 du 16 janvier 2013</w:t>
      </w:r>
    </w:p>
    <w:p>
      <w:r>
        <w:t>IT: TPF RR.2012.290 del 16 gennaio 2013</w:t>
      </w:r>
    </w:p>
    <w:p>
      <w:pPr>
        <w:pStyle w:val="Heading2"/>
      </w:pPr>
      <w:r>
        <w:t>Regeste</w:t>
      </w:r>
    </w:p>
    <w:p>
      <w:r>
        <w:t>Internationale Rechtshilfe in Strafsachen an Polen.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Dezember 2012 der Bundesstrafgerichtskasse gutgeschrieben wurde (act. 9);</w:t>
      </w:r>
    </w:p>
    <w:p>
      <w:r>
        <w:t>- die Beschwerdeführer den verlangten Kostenvorschuss damit nicht innert der angesetzten Frist bezahlte, weshalb androhungsgemäss auf die Be- schwerde nicht einzutreten ist (Art. 39 Abs. 2 lit. d StBOG i.V.m. Art. 63 Abs. 4 VwVG und Art. 53 Abs. 3 VwVG);</w:t>
      </w:r>
    </w:p>
    <w:p>
      <w:r>
        <w:t>- der Beschwerdeführer bei diesem Ausgang des Verfahrens kostenpflichtig wird (Art. 39 Abs. 2 lit. d StBOG i.V.m. Art. 63 Abs. 1 VwVG); für die Be- rechnung der Gerichtsgebühren das Reglement vom 31. August 2010 des Bundesstrafgerichts über die Kosten, Gebühren und Entschädigungen in Bundesstrafverfahren (BStKR; SR 173.713.162) zur Anwendung gelangt (Art. 63 Abs. 5 VwVG i.V.m. Art. 53 Abs. 2 lit. a StBOG und Art. 22 Abs. 3 BStKR); die Gerichtsgebühr vorliegend auf Fr. 500.-- anzusetzen ist, unter Anrechnung des entsprechenden Betrages aus dem (verspätet) geleisteten Kostenvorschuss von Fr. 4'000.--; die Bundesstrafgerichtskasse anzuwei- sen ist, dem Beschwerdeführer den Restbetrag von Fr. 3'500.-- zurückzu- 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