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RR.2012.29 vom 12. April 2012</w:t>
      </w:r>
    </w:p>
    <w:p>
      <w:r>
        <w:t>Bundesstrafgericht, 2012-04-12, DE</w:t>
      </w:r>
    </w:p>
    <w:p>
      <w:r>
        <w:rPr>
          <w:b/>
        </w:rPr>
        <w:t xml:space="preserve">Quelle: </w:t>
      </w:r>
      <w:r>
        <w:t>https://mcp.opencaselaw.ch/entscheid/bstger_RR.2012.29</w:t>
      </w:r>
    </w:p>
    <w:p>
      <w:r>
        <w:t>FR: TPF RR.2012.29 du 12 avril 2012</w:t>
      </w:r>
    </w:p>
    <w:p>
      <w:r>
        <w:t>IT: TPF RR.2012.29 del 12 aprile 2012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November 2011 auf das deutsche Rechtshilfeersuchen eintrat und in der Folge die angeforderten Auskünften bei den drei Banken einholte sowie die Edition der Bankunterlagen anordnete (act. 1.2);</w:t>
      </w:r>
    </w:p>
    <w:p>
      <w:r>
        <w:t>- mit Schlussverfügung vom 18. Januar 2012 die Staatsanwaltschaft dem Rechtshilfeersuchen vollumfänglich entsprach und die rechtshilfeweise Herausgabe diverser Bankunterlagen anordnete (act. 1.2);</w:t>
      </w:r>
    </w:p>
    <w:p>
      <w:r>
        <w:t>- A. dagegen mit Eingabe vom 20. Februar 2012 Beschwerde erheben lässt (act. 1);</w:t>
      </w:r>
    </w:p>
    <w:p>
      <w:r>
        <w:t>- in Anwendung von Art. 63 Abs. 4 VwVG i.V.m. Art. 39 Abs. 2 lit. b StBOG der Beschwerdeführer mit Schreiben vom 22. Februar 2012 eingeladen wurde, bis 5. März 2012 einen Kostenvorschuss von Fr. 4'000.-- zu leisten, und darauf aufmerksam gemacht wurde, dass bei Säumnis auf die Be- schwerde nicht eingetreten werde (act. 3);</w:t>
      </w:r>
    </w:p>
    <w:p>
      <w:r>
        <w:t>- mit Eingabe vom 2. März 2012 der Beschwerdeführer um Erstreckung der Frist zur Leistung des Kostenvorschusses bis 19. März 2012 ersuchte (act. 4); das Fristerstreckungsgesuch in der Folge gutgeheissen wurde (act. 4);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21 Abs. 3 VwVG i.V.m. Art. 39 Abs. 2 lit. b StBOG);</w:t>
      </w:r>
    </w:p>
    <w:p>
      <w:r>
        <w:t>- der Beschwerdeführer innerhalb der erstreckten Frist den verlangten Kos- tenvorschuss nicht bezahlt und auch nicht das Gesuch um Gewährung der unentgeltlichen Rechtspflege gestellt hat;</w:t>
      </w:r>
    </w:p>
    <w:p>
      <w:r>
        <w:t>- 3 -</w:t>
      </w:r>
    </w:p>
    <w:p>
      <w:r>
        <w:t>- auf die Beschwerde daher androhungsgemäss nicht einzutreten ist (Art. 63 Abs. 4 VwVG i.V.m. Art. 39 Abs. 2 lit. b StBOG);</w:t>
      </w:r>
    </w:p>
    <w:p>
      <w:r>
        <w:t>- der Beschwerdeführer bei diesem Ausgang des Verfahrens kostenpflichtig wird (Art. 63 Abs. 1 VwVG i.V.m. Art. 39 Abs. 2 lit. b StBOG); es sich vor- liegend rechtfertigt, auf die Erhebung einer Gerichtsgebühr zu verzichten (Art. 63 Abs. 1 Satz 3 VwVG i.V.m. Art. 39 Abs. 2 lit. b StBOG).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