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RR.2012.283 vom 22. März 2013</w:t>
      </w:r>
    </w:p>
    <w:p>
      <w:r>
        <w:t>Bundesstrafgericht, 2013-03-22, FR</w:t>
      </w:r>
    </w:p>
    <w:p>
      <w:r>
        <w:rPr>
          <w:b/>
        </w:rPr>
        <w:t xml:space="preserve">Quelle: </w:t>
      </w:r>
      <w:r>
        <w:t>https://mcp.opencaselaw.ch/entscheid/bstger_RR.2012.283</w:t>
      </w:r>
    </w:p>
    <w:p>
      <w:r>
        <w:t>FR: TPF RR.2012.283 du 22 mars 2013</w:t>
      </w:r>
    </w:p>
    <w:p>
      <w:r>
        <w:t>IT: TPF RR.2012.283 del 22 marzo 2013</w:t>
      </w:r>
    </w:p>
    <w:p>
      <w:pPr>
        <w:pStyle w:val="Heading2"/>
      </w:pPr>
      <w:r>
        <w:t>Regeste</w:t>
      </w:r>
    </w:p>
    <w:p>
      <w:r>
        <w:t>Entraide à la Principauté du Liechtenstein. Remise de moyens de preuve (art. 74 EIMP).</w:t>
      </w:r>
    </w:p>
    <w:p>
      <w:pPr>
        <w:pStyle w:val="Heading2"/>
      </w:pPr>
      <w:r>
        <w:t>Erwägungen</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ordonnances de clôture de la procédure d'entraide rendues par l'autorité fédérale d'exécution.</w:t>
      </w:r>
    </w:p>
    <w:p>
      <w:r>
        <w:rPr>
          <w:b/>
        </w:rPr>
        <w:t>E. 1.2</w:t>
      </w:r>
    </w:p>
    <w:p>
      <w:r>
        <w:t>L'entraide judiciaire entre le Liechtenstein et la Confédération suisse est régie en premier lieu par la Convention européenne d'entraide judiciaire en matière pénale (CEEJ; 0.351.1), entrée en vigueur pour la Suisse le 20 mars 1967 et pour le Lichtenstein le 26 janvier 1970 ainsi que par l'Ac- cord du 27 avril 1999 entre la Confédération suisse, la République d’Autriche et la Principauté de Liechtenstein concernant la coopération transfrontalière des autorités compétentes en matière de sécurité et de douane (RS 0.360.163.1). Peut également s'appliquer en l'occurrence la Convention n° 141 du Conseil de l'Europe relative au blanchiment, au dé- pistage, à la saisie et à la confiscation des produits du crime (CBI; RS 0.311.53), entrée en vigueur pour la Suisse le 1er septembre 1993 et pour l'Etat requérant le 1er mars 2001. A compter du 19 décembre 2011, les art. 48 à 53 de la Convention d'application de l'Accord Schengen du 14 juin 1985 (ci-après: CAAS) entre les gouvernements des Etats de l'Union économique Benelux, de la République fédérale d'Allemagne et de la République française relatif à la suppression graduelle des contrôles aux frontières communes (n° CELEX 22011A0618(02); Journal officiel de l'Union européenne L 160 du 18 juin 2011, p. 21 à 36) s'appliquent égale- ment à l'entraide pénale entre la Suisse et le Lichtenstein. Pour le surplus, l'EIMP et son ordonnance d'exécution (OEIMP; RS 351.11) règlent les questions qui ne sont pas régies, explicitement ou implicitement, par les traités (ATF 130 II 337 consid. 1; 128 II 355 consid. 1 et la jurisprudence ci- tée). Le droit interne s'applique en outre lorsqu'il est plus favorable à l'octroi de l'entraide (ATF 137 IV 33 consid. 2.2.2 et les arrêts cités). Le respect des droits fondamentaux demeure réservé (ATF 135 IV 212 consid. 2.3).</w:t>
      </w:r>
    </w:p>
    <w:p>
      <w:r>
        <w:rPr>
          <w:b/>
        </w:rPr>
        <w:t>E. 1.3</w:t>
      </w:r>
    </w:p>
    <w:p>
      <w:r>
        <w:t>Aux termes de l'art. 80h let. b EIMP, a qualité pour recourir en matière de «petite entraide» quiconque est personnellement et directement touché par une mesure d'entraide et a un intérêt digne de protection à ce qu'elle soit annulée ou modifiée. En application de l'art. 9a let. b OEIMP, en cas de perquisition de papiers dans les locaux d'une fiduciaire, cette dernière est seule habilitée à recourir en tant que personne soumise à une mesure de</w:t>
      </w:r>
    </w:p>
    <w:p>
      <w:r>
        <w:t>- 5 -</w:t>
      </w:r>
    </w:p>
    <w:p>
      <w:r>
        <w:t>perquisition (arrêt du Tribunal fédéral 1A.293/2004 du 18 mars 2005, consid. 2.3; v. ég. arrêt du Tribunal fédéral 1C_132/2009 du 3 avril 2009, consid. 2.4; TPF 2010 47 consid. 2.1; arrêt du Tribunal pénal fédéral RR.2010.11 du 22 mars 2010, consid. 1.3). Compte tenu du fait que la do- cumentation dont est ordonnée la transmission a été saisie dans les bu- reaux de la fiduciaire A., celle-ci dispose de la qualité pour recourir.</w:t>
      </w:r>
    </w:p>
    <w:p>
      <w:r>
        <w:rPr>
          <w:b/>
        </w:rPr>
        <w:t>E. 1.4</w:t>
      </w:r>
    </w:p>
    <w:p>
      <w:r>
        <w:t>Au surplus, interjeté dans le délai de 30 jours dès la notification de la déci- sion attaquée, le recours a été déposé en temps utile (art. 80k EIMP et art. 20 al. 1 et 3 de la loi sur la procédure administrative [PA; RS 172.021] applicable par renvoi de l'art. 39 al. 2 let. b LOAP).</w:t>
      </w:r>
    </w:p>
    <w:p>
      <w:r>
        <w:rPr>
          <w:b/>
        </w:rPr>
        <w:t>E. 1.5</w:t>
      </w:r>
    </w:p>
    <w:p>
      <w:r>
        <w:t>Au vu de ce qui précède, le recours est partant recevable.</w:t>
      </w:r>
    </w:p>
    <w:p>
      <w:r>
        <w:rPr>
          <w:b/>
        </w:rPr>
        <w:t>E. 2</w:t>
      </w:r>
    </w:p>
    <w:p>
      <w:r>
        <w:t>La recourante allègue que son droit à la protection du secret d'affaires, ins- titué à l'art. 162 CP, et au respect de son devoir de diligence et de discré- tion vis-à-vis de ses clients primerait l'intérêt à la transmission des docu- ments concernés. Elle expose en particulier que l'autorité requérante dis- pose probablement déjà de bon nombre de ces documents, lesquels ne se- raient au demeurant pas utiles aux besoins de l'enquête liechtensteinoise, tels qu'exposés dans la demande d'entraide.</w:t>
      </w:r>
    </w:p>
    <w:p>
      <w:r>
        <w:rPr>
          <w:b/>
        </w:rPr>
        <w:t>E. 2.1</w:t>
      </w:r>
    </w:p>
    <w:p>
      <w:r>
        <w:t>L'art. 9 EIMP prévoit que la protection du domaine secret est réglée conformément aux dispositions sur le droit de refuser de témoigner. En principe, seules ont le droit de refuser de témoigner les personnes titulaires non pas de simples secrets d'affaires, mais d'un secret professionnel quali- fié au sens de l'art. 321 CP (v. ég. art. 171 CPP). N'en font partie ni les banques (ATF 123 II 153 consid. 7) ni les fiduciaires ou gérants d'affaires (arrêt 1A.61/2001 du 5 novembre 2001). L'intérêt au secret d'affaires peut aussi prévaloir, au terme de la pesée d'intérêts commandée par le principe de la proportionnalité (arrêt du Tribunal fédéral 1C_247/2011 du 6 juin 2011, consid. 1.3).</w:t>
      </w:r>
    </w:p>
    <w:p>
      <w:r>
        <w:rPr>
          <w:b/>
        </w:rPr>
        <w:t>E. 2.2</w:t>
      </w:r>
    </w:p>
    <w:p>
      <w:r>
        <w:t>En l'espèce, la recourante ne fait valoir aucun motif qui l'autoriserait à refu- ser de témoigner au sens des normes susmentionnées et se limite à invo- quer la protection du secret d'affaires. Il ressort ainsi de ce qui précède que le grief soulevé peut uniquement être abordé sous l'angle de la proportion- nalité.</w:t>
      </w:r>
    </w:p>
    <w:p>
      <w:r>
        <w:rPr>
          <w:b/>
        </w:rPr>
        <w:t>E. 2.3</w:t>
      </w:r>
    </w:p>
    <w:p>
      <w:r>
        <w:t>Selon le principe de la proportionnalité, la question de savoir si les rensei- gnements demandés sont nécessaires ou simplement utiles à la procédure</w:t>
      </w:r>
    </w:p>
    <w:p>
      <w:r>
        <w:t>- 6 -</w:t>
      </w:r>
    </w:p>
    <w:p>
      <w:r>
        <w:t>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w:t>
      </w:r>
    </w:p>
    <w:p>
      <w:r>
        <w:t>- 7 -</w:t>
      </w:r>
    </w:p>
    <w:p>
      <w:r>
        <w:t>consid. 2.2; 1A.75/2006 du 20 juin 2006, consid. 3.2; 1A.79/2005 du 27 avril 2005, consid. 4.2; 1A.59/2005 du 26 avril 2005, consid. 6.2).</w:t>
      </w:r>
    </w:p>
    <w:p>
      <w:r>
        <w:rPr>
          <w:b/>
        </w:rPr>
        <w:t>E. 2.4</w:t>
      </w:r>
    </w:p>
    <w:p>
      <w:r>
        <w:t>In casu, l'autorité requérante sollicite la transmission de tout élément de preuve permettant de déterminer l'éventuelle provenance illicite des som- mes parvenues sur le compte de la société E. auprès de la banque G. et versées par les sociétés H. et I. (act. 6.1). S'il est vrai que la documentation récoltée par le MPC ne concerne pas directement les deux versements mis en exergue par les autorités liechtensteinoises, il convient néanmoins de relever que celle-ci est en étroite connexion tant avec la société réception- naire des fonds, soit la société E., qu'avec la personne poursuivie dans le cadre de la procédure étrangère, soit B. (classeur gris «Documents prove- nant de la perquisition chez la société J. (10)»). En effet, le premier dossier dont est ordonnée la transmission fournit des informations quant aux ac- tionnaires de la première ainsi que l'identité et les tâches de la société ad- ministratrice de celle-ci. Le deuxième dossier concerné se rapporte pour sa part au Trust F. Or, il ressort de ces pièces, d'une part, que ledit trust dé- tiendrait à 100% la société E. et, d'autre part, que B. serait tant le bénéfi- ciaire que le protector et le settlor du trust. Ces documents fournissent par ailleurs de nombreuses indications sur les versements qui auraient été ef- fectués en faveur de celui-ci par la société E. notamment. Il n'existe ainsi point de doutes que l'ensemble de ces renseignements est susceptible de faire avancer l'enquête liechtensteinoise en permettant aux autorités d'éta- blir le contexte dans lequel évolue la société E. ainsi que l'origine des transferts en sa faveur. Au demeurant, le fait que l'autorité requérante se- rait déjà en possession de certains documents n'est pas, en tant que tel, de nature à empêcher l'exécution de la requête d'entraide. L'Etat requérant dispose d'un intérêt à recevoir l'ensemble de la documentation litigieuse même si une telle transmission impliquerait la remise de pièces qui seraient déjà en ses mains.</w:t>
      </w:r>
    </w:p>
    <w:p>
      <w:r>
        <w:t>Aucun intérêt privé concret au maintient du secret d'affaires n'étant démon- tré ni même allégué, il ressort de ce qui précède que l'exécution de la de- mande ne viole dès lors pas le principe de la proportionnalité.</w:t>
      </w:r>
    </w:p>
    <w:p>
      <w:r>
        <w:rPr>
          <w:b/>
        </w:rPr>
        <w:t>E. 3</w:t>
      </w:r>
    </w:p>
    <w:p>
      <w:r>
        <w:t>Enfin, la Cour ne relève aucune autre cause de refus de l'entraide.</w:t>
      </w:r>
    </w:p>
    <w:p>
      <w:r>
        <w:rPr>
          <w:b/>
        </w:rPr>
        <w:t>E. 4</w:t>
      </w:r>
    </w:p>
    <w:p>
      <w:r>
        <w:t>Les considérants qui précèdent conduisent ainsi au rejet du recours.</w:t>
      </w:r>
    </w:p>
    <w:p>
      <w:r>
        <w:t>- 8 -</w:t>
      </w:r>
    </w:p>
    <w:p>
      <w:r>
        <w:rPr>
          <w:b/>
        </w:rPr>
        <w:t>E. 5</w:t>
      </w:r>
    </w:p>
    <w:p>
      <w:r>
        <w:t>En règle générale, les frais de procédure, comprenant l’émolument d’arrêté, Ies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 tuation financière et des frais de chancellerie (art. 73 al. 2 LOAP). La recou- rante, qui succombe, supportera les frais du présent arrêt, lesquels se limi- tent à un émolument fixé à CHF 4'000.-- (art. 73 al. 2 LOAP et art. 8 al. 3 du règlement du Tribunal pénal fédéral sur les frais, émoluments, dépens et in- demnités de la procédure pénale fédérale du 31 août 2010 [REPPF; RS 173.713.162] et art. 63 al. 5 PA), couvert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