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RR.2012.275 vom 13. März 2013</w:t>
      </w:r>
    </w:p>
    <w:p>
      <w:r>
        <w:t>Bundesstrafgericht, 2013-03-13, IT</w:t>
      </w:r>
    </w:p>
    <w:p>
      <w:r>
        <w:rPr>
          <w:b/>
        </w:rPr>
        <w:t xml:space="preserve">Quelle: </w:t>
      </w:r>
      <w:r>
        <w:t>https://mcp.opencaselaw.ch/entscheid/bstger_RR.2012.275</w:t>
      </w:r>
    </w:p>
    <w:p>
      <w:r>
        <w:t>FR: TPF RR.2012.275 du 13 mars 2013</w:t>
      </w:r>
    </w:p>
    <w:p>
      <w:r>
        <w:t>IT: TPF RR.2012.275 del 13 marzo 2013</w:t>
      </w:r>
    </w:p>
    <w:p>
      <w:pPr>
        <w:pStyle w:val="Heading2"/>
      </w:pPr>
      <w:r>
        <w:t>Regeste</w:t>
      </w:r>
    </w:p>
    <w:p>
      <w:r>
        <w:t>Assistenza giudiziaria internazionale in materia penale all'Italia/Sequestro di conti bancari (art. 80e cpv. 2 lett. a AIMP): pregiudizio immediato ed irreparabile.</w:t>
      </w:r>
    </w:p>
    <w:p>
      <w:pPr>
        <w:pStyle w:val="Heading2"/>
      </w:pPr>
      <w:r>
        <w:t>Erwägungen</w:t>
      </w:r>
    </w:p>
    <w:p>
      <w:r>
        <w:rPr>
          <w:b/>
        </w:rPr>
        <w:t>E. 1.1</w:t>
      </w:r>
    </w:p>
    <w:p>
      <w:r>
        <w:t>In virtù degli art. 37 cpv. 2 lett. a della legge federale sull'organizzazione delle autorità penali della Confederazione (LOAP; RS 173.71) e 19 cpv. 2 del regolamento del 31 agosto 2010 sull'organizzazione del Tribunale pe- nale federale (ROTPF; RS 173.713.161), la Corte dei reclami penali giudica i gravami in materia di assistenza giudiziaria internazionale.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w:t>
      </w:r>
    </w:p>
    <w:p>
      <w:r>
        <w:t>- 4 -</w:t>
      </w:r>
    </w:p>
    <w:p>
      <w:r>
        <w:t>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pubblicato nella RS ma ora consultabile nel fascicolo "Assistenza e estradizione" edito dalla Cancelleria federale, Berna 2012). Di rilievo nella fattispecie è anche la Convenzione sul rici- claggio, la ricerca, il sequestro e la confisca dei proventi di reato, conclusa a Strasburgo l’8 novembre 1990, entrata in vigore il 1° settembre 1993 per la Svizzera ed il 1° maggio 1994 per l’Italia (CRic; RS. 0.311.53). Alle que- stioni che il prevalente diritto internazionale contenuto in detti trattati non regola espressamente o implicitamente, come pure quando il diritto nazio- nale sia più favorevole all'assistenza rispetto a quello pattizio (cosiddetto principio di favore), si applicano la legge federale sull'assistenza interna- zionale in materia penale del 20 marzo 1981 (AIMP; RS 351.1), unitamente alla relativa ordinanza (OAIMP; RS 351.11; v. art. 1 cpv. 1 AIMP, art. I n. 2 Accordo italo-svizzero; DTF 137 IV 33 consid. 2.2.2; 136 IV 82 consid. 3.1; 135 IV 212 consid. 2.3; 123 II 134 consid. 1a; 122 II 140 consid. 2). Il prin- cipio di favore vale anche nell'applicazione delle pertinenti norme di diritto internazionale (v. art. 48 n. 2 CAS, 39 n. 3 CRic e art. I n. 2 Accordo italo- svizzero). È fatto salvo il rispetto dei diritti fondamentali (DTF 135 IV 212 consid. 2.3; 123 II 595 consid. 7c).</w:t>
      </w:r>
    </w:p>
    <w:p>
      <w:r>
        <w:rPr>
          <w:b/>
        </w:rPr>
        <w:t>E. 1.3</w:t>
      </w:r>
    </w:p>
    <w:p>
      <w:r>
        <w:t>Il ricorso è stato tempestivamente interposto contro la decisione di entrata in materia ed esecuzione dell'autorità federale d'esecuzione (v. art. 80k AIMP). Le decisioni incidentali anteriori alla decisione di chiusura possono essere impugnate separatamente se causano un pregiudizio immediato e irreparabile mediante il sequestro di beni e valori oppure la presenza di persone che partecipano al processo (art. 80e cpv. 2 AIMP). La legittima- zione di B. è data per quanto riguarda la contestazione del sequestro del conto n. 2 presso la banca F., di cui risulta intestatario, mentre quella della società A. Ltd. è data per il conto n. 1 di cui risulta intestataria (v. art. 80h lett. b AIMP e art. 9a OAIMP; DTF 118 Ib 547 consid. 1d; TPF 2007 79 consid. 1.6 pag. 82). Essa fa per contro difetto per quanto riguarda i conti per i quali i ricorrenti risultano aventi diritto economico o dispongono sem- plicemente di una procura (v. DTF 122 II 130 consid. 2b e rinvii).</w:t>
      </w:r>
    </w:p>
    <w:p>
      <w:r>
        <w:rPr>
          <w:b/>
        </w:rPr>
        <w:t>E. 1.4</w:t>
      </w:r>
    </w:p>
    <w:p>
      <w:r>
        <w:t>Si prende atto che B., con scritto del 15 novembre 2012, ha ritirato il pro- prio gravame. Per quanto lo riguarda, la causa è pertanto stralciata dal ruo- lo. Tale ritiro non vale per contro per la A. Ltd., dato che B., sebbene ne sia beneficiario economico, non la rappresenta formalmente. L'avv. Marcellini non ha potuto del resto fornire gli estremi della persona fisica o morale che,</w:t>
      </w:r>
    </w:p>
    <w:p>
      <w:r>
        <w:t>- 5 -</w:t>
      </w:r>
    </w:p>
    <w:p>
      <w:r>
        <w:t>dopo la disdetta del mandato da parte della G. SA di Lugano, rappresenta attualmente la A. Ltd.</w:t>
      </w:r>
    </w:p>
    <w:p>
      <w:r>
        <w:rPr>
          <w:b/>
        </w:rPr>
        <w:t>E. 2</w:t>
      </w:r>
    </w:p>
    <w:p>
      <w:r>
        <w:t>La società ricorrente contesta sia i reati in Italia sulla base dei quali è fon- data la rogatoria, sia l'asserita origine criminale dei fondi giacenti sul suo conto. Egli afferma che il MPC, con la decisione impugnata, avrebbe ecce- duto ed abusato del suo potere di apprezzamento. La domanda di assi- stenza violerebbe inoltre il diritto in ambito di cooperazione internazionale, segnatamente il principio della proporzionalità. Il provvedimento impugnato difetterebbe perdipiù di base legale.</w:t>
      </w:r>
    </w:p>
    <w:p>
      <w:r>
        <w:rPr>
          <w:b/>
        </w:rPr>
        <w:t>E. 2.1</w:t>
      </w:r>
    </w:p>
    <w:p>
      <w:r>
        <w:t>In base alla giurisprudenza, nel caso di ricorsi rivolti contro decisioni inci- dentali ai sensi dell’art. 80e cpv. 2 AIMP (v. supra consid. 1.3), spetta al ri- corrente indicare, nel proprio atto ricorsuale, in che cosa consiste l’allegato pregiudizio e dimostrare che questo non potrebbe essere sanato mediante un giudizio che annulli, se del caso, la susseguente decisione di chiusura (DTF 130 II 329 consid. 2; 128 II 353 consid. 3 e rinvii). Per quanto riguarda il pregiudizio da prendere in considerazione, in particolare nel caso di se- questro di beni e valori, può trattarsi dell’impossibilità di adempiere delle obbligazioni contrattuali scadute (pagamento di stipendi, interessi, imposte, pretese esigibili, ecc.), del fatto di essere esposto a procedure di esecuzio- ne o di fallimento, oppure alla revoca di un’autorizzazione amministrativa, o ancora dell’impossibilità di concludere affari vicini al loro sbocco. Il solo fat- to di dover far fronte a delle spese correnti non è sufficiente, in linea di massima, a rendere verosimile un pregiudizio immediato e irreparabile ai sensi della predetta disposizione (DTF 130 II 329 consid. 2 pag. 332; sen- tenza del Tribunale penale federale RR.2007.43 del 16 maggio 2007, con- sid. 2.2 e rinvii).</w:t>
      </w:r>
    </w:p>
    <w:p>
      <w:r>
        <w:rPr>
          <w:b/>
        </w:rPr>
        <w:t>E. 2.2</w:t>
      </w:r>
    </w:p>
    <w:p>
      <w:r>
        <w:t>La società ricorrente non ha fornito nessun elemento atto a chiarire la sua situazione economica, omettendo in particolare di indicare sia i suoi redditi che il suo patrimonio. Essa non è stata in grado di rendere verosimile l'in- sorgere per lei, in assenza di uno sblocco totale o parziale del suo conto, di un pregiudizio immediato ed irreparabile ai sensi della predetta giurispru- denza. In realtà, essa non ha nemmeno abbordato tale questione, unica censura proponibile a questo stadio della procedura rogatoriale. Il ricorso non merita dunque ulteriore disamina.</w:t>
      </w:r>
    </w:p>
    <w:p>
      <w:r>
        <w:rPr>
          <w:b/>
        </w:rPr>
        <w:t>E. 2.3</w:t>
      </w:r>
    </w:p>
    <w:p>
      <w:r>
        <w:t>Da quanto sopra discende che il ricorso è inammissibile già per la sola mancanza di un pregiudizio immediato e irreparabile giusta l’art. 80e cpv. 2 lett. a AIMP, il che rende superfluo l'esame delle restanti censure.</w:t>
      </w:r>
    </w:p>
    <w:p>
      <w:r>
        <w:t>- 6 -</w:t>
      </w:r>
    </w:p>
    <w:p>
      <w:r>
        <w:rPr>
          <w:b/>
        </w:rPr>
        <w:t>E. 3</w:t>
      </w:r>
    </w:p>
    <w:p>
      <w:r>
        <w:t>Le spese seguono la soccombenza (v. art. 63 cpv. 1 della legge federale sulla procedura amministrativa del 20 dicembre 1968 [PA; RS 172.021] ri- chiamato l'art. 39 cpv. 2 lett. b LOAP). In caso di ritiro del gravame i costi cagionati dallo stesso vanno di regola messi a carico della parte che lo ha ritirato, in quanto considerata parte soccombente giusta l’art. 63 cpv. 1 PA (v. BENOÎT BOVAY, Procédure administrative, Berna 2000, pag. 459; FRITZ GYGI, Bundesverwaltungsrechtspflege, 2a ed., Berna 1983, pag. 327). Per quanto riguarda B., è d'uopo rilevare che la dichiarazione di ritiro del ricorso è avvenuta in uno stadio avanzato della procedura, dopo che la causa ave- va già cagionato considerevoli oneri di cancelleria. La tassa di giustizia è calcolata giusta l'art. 73 cpv. 2 LOAP e l'art. 8 cpv. 3 del regolamento del 31 agosto 2010 sulle spese, gli emolumenti, le ripetibili e le indennità della procedura penale federale (RSPPF; RS 173.713.162) ed è fissata nella fat- tispecie a fr. 5'000.-- a carico dei ricorrenti in solido. Tenuto conto dell'anti- cipo delle spese di fr. 6'000.-- già versato, la cassa del Tribunale restituirà ai ricorrenti l'importo di fr. 1'000.--.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