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RR.2012.266 vom 20. Dezember 2012</w:t>
      </w:r>
    </w:p>
    <w:p>
      <w:r>
        <w:t>Bundesstrafgericht, 2012-12-20, DE</w:t>
      </w:r>
    </w:p>
    <w:p>
      <w:r>
        <w:rPr>
          <w:b/>
        </w:rPr>
        <w:t xml:space="preserve">Quelle: </w:t>
      </w:r>
      <w:r>
        <w:t>https://mcp.opencaselaw.ch/entscheid/bstger_RR.2012.266</w:t>
      </w:r>
    </w:p>
    <w:p>
      <w:r>
        <w:t>FR: TPF RR.2012.266 du 20 décembre 2012</w:t>
      </w:r>
    </w:p>
    <w:p>
      <w:r>
        <w:t>IT: TPF RR.2012.266 del 20 dicembre 2012</w:t>
      </w:r>
    </w:p>
    <w:p>
      <w:pPr>
        <w:pStyle w:val="Heading2"/>
      </w:pPr>
      <w:r>
        <w:t>Regeste</w:t>
      </w:r>
    </w:p>
    <w:p>
      <w:r>
        <w:t>Internationale Rechtshilfe in Strafsachen an Griechenland. Kontosperre (Art. 33a IRSV). Eintretens- und Zwischenverfügung. Kostenvorschuss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November 2012 auf das Rechtshilfeersuchen eintrat und sämtliche auf dem Konto Nr. 1 liegenden, auf die A. Ltd. lautenden Vermögenswerte bei der Bank E. SA beschlagnahmte (act. 1.3);</w:t>
      </w:r>
    </w:p>
    <w:p>
      <w:r>
        <w:t>- am 15. November 2012 per Fax bei der Beschwerdekammer des Bundes- strafgerichts eine Beschwerde der A. Ltd. gegen die Eintretens- und Zwi- schenverfügung eingegangen ist, mit welcher die Aufhebung der Konto- sperre sowie die Anordnung der aufschiebenden Wirkung der Beschwerde beantragt wird (act. 1);</w:t>
      </w:r>
    </w:p>
    <w:p>
      <w:r>
        <w:t>- die Beschwerdeführerin mit Schreiben vom 16. November 2012 aufgefor- dert wurde, innerhalb der Rechtsmittelfrist eine der Schriftform im Sinne von Art. 52 Abs. 1 VwVG entsprechende Beschwerdeschrift einzureichen und bis zum 3. Dezember 2012 ein Zustelldomizil in der Schweiz zu be- zeichnen (act. 3);</w:t>
      </w:r>
    </w:p>
    <w:p>
      <w:r>
        <w:t>- die Beschwerdeführerin dieser Aufforderung nachkam, indem sie dem Ge- richt eine originalunterzeichnete Beschwerdeschrift einreichte (act. 6) und fristgerecht ein Zustelldomizil in der Schweiz bezeichnete (act. 10);</w:t>
      </w:r>
    </w:p>
    <w:p>
      <w:r>
        <w:t>- die Beschwerdeführerin mit Schreiben vom 3. Dezember 2012 eingeladen wurde, bis zum 14. Dezember 2012 einen Kostenvorschuss von Fr. 6'000.-- zu leisten und darauf aufmerksam gemacht wurde, dass bei Säumnis auf die Beschwerde nicht eingetreten wird (act. 11);</w:t>
      </w:r>
    </w:p>
    <w:p>
      <w:r>
        <w:t>- die Frist zur Bezahlung des Kostenvorschusses gewahrt ist, wenn der Be- trag rechtzeitig zu Gunsten der Behörde der schweizerischen Post überge-</w:t>
      </w:r>
    </w:p>
    <w:p>
      <w:r>
        <w:t>- 3 -</w:t>
      </w:r>
    </w:p>
    <w:p>
      <w:r>
        <w:t>ben oder einem Post- oder Bankkonto in der Schweiz belastet worden ist (Art. 21 Abs. 3 VwVG i.V.m. Art. 39 Abs. 2 lit. b StBOG [SR 173.71]);</w:t>
      </w:r>
    </w:p>
    <w:p>
      <w:r>
        <w:t>- der Kostenvorschuss gemäss Buchungsnachweis der PostFinance von ei- nem Konto bei der Bank F. AG in Frankfurt am Main bezahlt und am 19. Dezember 2012 auf dem Konto des Bundesstrafgerichts bei der PostFinance gutgeschrieben worden ist (act. 13);</w:t>
      </w:r>
    </w:p>
    <w:p>
      <w:r>
        <w:t>- die Beschwerdeführerin den verlangten Kostenvorschuss damit nicht innert der angesetzten Frist bezahlt hat, weshalb androhungsgemäss auf die Be- schwerde nicht einzutreten ist (Art. 63 Abs. 4 VwVG i.V.m. Art. 39 Abs. 2 lit. b StBOG);</w:t>
      </w:r>
    </w:p>
    <w:p>
      <w:r>
        <w:t>- die Beschwerdeführerin bei diesem Ausgang des Verfahrens kostenpflich- tig wird (Art. 39 Abs. 2 lit. b StBOG i.V.m. Art. 63 Abs. 1 VwVG); für die Be- rechnung der Gerichtsgebühren das Reglement vom 31. August 2010 des Bundesstrafgerichts über die Kosten, Gebühren und Entschädigungen in Bundesstrafverfahren (BStKR; SR 173.713.162) zur Anwendung gelangt (Art. 63 Abs. 5 VwVG i.V.m. Art. 53 Abs. 2 lit. a StBOG); die Gerichtsge- bühr vorliegend auf Fr. 500.-- anzusetzen ist, unter Anrechnung des ent- sprechenden Betrages aus dem (verspätet) geleisteten Kostenvorschuss von Fr. 6'000.--; die Bundesstrafgerichtskasse anzuweisen ist, der Be- schwerdeführerin den Restbetrag von Fr. 5'500.--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