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RR.2012.264 vom 22. März 2013</w:t>
      </w:r>
    </w:p>
    <w:p>
      <w:r>
        <w:t>Bundesstrafgericht, 2013-03-22, FR</w:t>
      </w:r>
    </w:p>
    <w:p>
      <w:r>
        <w:rPr>
          <w:b/>
        </w:rPr>
        <w:t xml:space="preserve">Quelle: </w:t>
      </w:r>
      <w:r>
        <w:t>https://mcp.opencaselaw.ch/entscheid/bstger_RR.2012.264</w:t>
      </w:r>
    </w:p>
    <w:p>
      <w:r>
        <w:t>FR: TPF RR.2012.264 du 22 mars 2013</w:t>
      </w:r>
    </w:p>
    <w:p>
      <w:r>
        <w:t>IT: TPF RR.2012.264 del 22 marzo 2013</w:t>
      </w:r>
    </w:p>
    <w:p>
      <w:pPr>
        <w:pStyle w:val="Heading2"/>
      </w:pPr>
      <w:r>
        <w:t>Regeste</w:t>
      </w:r>
    </w:p>
    <w:p>
      <w:r>
        <w:t>Entraide judiciaire internationale en matière pénale à la République de Corée. Remise de moyens de preuve (art. 74 EIMP).</w:t>
      </w:r>
    </w:p>
    <w:p>
      <w:pPr>
        <w:pStyle w:val="Heading2"/>
      </w:pPr>
      <w:r>
        <w:t>Erwägungen</w:t>
      </w:r>
    </w:p>
    <w:p>
      <w:r>
        <w:rPr>
          <w:b/>
        </w:rPr>
        <w:t>E. 1.1</w:t>
      </w:r>
    </w:p>
    <w:p>
      <w:r>
        <w:t>L'entraide judiciaire entre la Corée du Sud et la Confédération suisse est prioritairement régie par la Convention européenne d’entraide judiciaire en matière pénale (CEEJ; RS 0.351.1), entrée en vigueur pour la Suisse le 20 mars 1967 et pour la Corée du Sud le 29 décembre 2011. Les disposi- tions de ce traité l’emportent sur le droit autonome qui régit la matière, soit en l’occurrence la loi fédérale sur l’entraide internationale en matière péna- 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 céans est compétente pour connaître des recours dirigés contre les ordonnances de clôture de la procédure d’entraide rendues par l’autorité cantonale d’exécution, telle la décision de clôture du 9 octobre 2012.</w:t>
      </w:r>
    </w:p>
    <w:p>
      <w:r>
        <w:rPr>
          <w:b/>
        </w:rPr>
        <w:t>E. 1.3</w:t>
      </w:r>
    </w:p>
    <w:p>
      <w:r>
        <w:t>Le délai de recours contre l’ordonnance de clôture est de 30 jours dès la communication écrite de celle-ci (art. 80k EIMP). Déposé à un bureau de poste suisse le 12 novembre 2012, le recours contre l’ordonnance notifiée le 12 octobre 2012 est intervenu en temps utile, le délai, échéant le diman- che 11 novembre 2012, étant reporté au premier jour ouvrable suivant (art. 20 al. 3 de la loi sur la procédure administrative [PA; RS 172.021] ap- plicable par renvoi de l'art. 39 al. 2 let. b LOAP).</w:t>
      </w:r>
    </w:p>
    <w:p>
      <w:r>
        <w:rPr>
          <w:b/>
        </w:rPr>
        <w:t>E. 1.4</w:t>
      </w:r>
    </w:p>
    <w:p>
      <w:r>
        <w:t>Aux termes de l’art. 80h let. b EIMP, a qualité pour recourir en matière d’entraide quiconque est personnellement et directement touché par une mesure d’entraide et a un intérêt digne de protection à ce qu’elle soit annu- lée ou modifiée. La qualité pour recourir est reconnue à la personne physi- 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w:t>
      </w:r>
    </w:p>
    <w:p>
      <w:r>
        <w:t>- 5 -</w:t>
      </w:r>
    </w:p>
    <w:p>
      <w:r>
        <w:t>nal pénal fédéral RR.2009.281 du 7 juillet 2010, consid. 2.2). L’art. 9a let. a OEIMP reconnaît au titulaire d’un compte bancaire la qualité pour recourir contre la remise à l’Etat requérant de documents relatifs à ce compte. En application de ces principes, la qualité pour recourir est reconnue à A., en sa qualité de titulaire de la relation concernée. Celle-ci n'est au contraire pas donnée en ce qui a trait à B. dont le recours doit partant être déclaré ir- recevable.</w:t>
      </w:r>
    </w:p>
    <w:p>
      <w:r>
        <w:rPr>
          <w:b/>
        </w:rPr>
        <w:t>E. 2</w:t>
      </w:r>
    </w:p>
    <w:p>
      <w:r>
        <w:t>Dans un premier grief, le recourant soutient que la demande devrait être rejetée car le critère de la double incrimination ne serait pas réalisé (act. 1, p. 4). Il allègue à cet égard que l'état de fait présenté dans la requête ne serait pas suffisant, qu'il serait contradictoire et que la demande d'entraide serait fondée sur une infraction inconnue en droit suisse.</w:t>
      </w:r>
    </w:p>
    <w:p>
      <w:r>
        <w:rPr>
          <w:b/>
        </w:rPr>
        <w:t>E. 2.1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selon l’art. 64 al. 1</w:t>
      </w:r>
    </w:p>
    <w:p>
      <w:r>
        <w:t>- 6 -</w:t>
      </w:r>
    </w:p>
    <w:p>
      <w:r>
        <w:t>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2.2</w:t>
      </w:r>
    </w:p>
    <w:p>
      <w:r>
        <w:t>Il ressort de la demande d'entraide du 20 février 2012 que, entre 1992 et 2010, A. et B., responsables de la gestion de l'entreprise sud-coréenne D., auraient détourné 53,6 mia de wons des fonds de celle-ci en lui affligeant une perte de 100 mia de wons et en s'enrichissant d'une somme équivalen- te. Les autorités sud-coréennes exposent qu'un montant total de USD 3,8 mio, obtenu par A. de manière inconnue, a été versé les 11 mai et 11 sep- tembre 2010 sur un compte détenu par ce dernier auprès de la banque E. à Hong Kong. L'un des deux versements ayant alimenté le compte précité aurait été effectué à partir de la relation bancaire n° 1 ouverte en les livres de la banque C. à Genève. L'infraction motivant la demande d'entraide telle qu'indiquée par l'autorité requérante concerne principalement cette dernière transaction laquelle tomberait, en droit sud-coréen, sous le coup de l'art. 4 de la Loi sur la peine aggravée pour crime économique spécifique répri- mant, essentiellement, le détournement de fonds vers l'étranger (act. 1.4). La demande indique au surplus que les faits reprochés à A. en relation avec le détournement perpétré au détriment de la société D. seraient pu- nissables en application de l'art. 3 de la Loi sur l'aggravation de la peine pour crime spécifique économique (aggravation de la peine pour crime concernant un bien spécifique) et de l'art. 355 (détournement de fonds et abus de confiance).</w:t>
      </w:r>
    </w:p>
    <w:p>
      <w:r>
        <w:rPr>
          <w:b/>
        </w:rPr>
        <w:t>E. 2.2.1</w:t>
      </w:r>
    </w:p>
    <w:p>
      <w:r>
        <w:t>Sous l'angle du droit suisse, l'exposé des faits de la requête pourrait donner lieu à l'ouverture d'une enquête du chef de blanchiment d'argent. Aux ter- mes de l'art. 305bis CP, celui qui aura commis un acte propre à entraver l'identification de l'origine, la découverte ou la confiscation de valeurs pa- trimoniales dont il savait ou devait présumer qu'elles provenaient d'un cri-</w:t>
      </w:r>
    </w:p>
    <w:p>
      <w:r>
        <w:t>- 7 -</w:t>
      </w:r>
    </w:p>
    <w:p>
      <w:r>
        <w:t>me, sera puni d'une peine privative de liberté de trois ans au plus ou d'une peine pécuniaire. Constituent des actes propres à entraver la confiscation de valeurs patrimoniales le transfert d'argent de provenance illicite à l'étranger et le changement de compte bancaire (ATF IV 127 20 et IV 120 323). En l'espèce, il ressort de la requête que l'argent identifié par les auto- rités sud-coréennes et présumé de provenance illicite aurait vraisembla- blement transité via plusieurs comptes situés notamment en Suisse et à Hong-Kong (act. 1.4, p. 5). Ces différents versements peuvent ainsi corres- pondre à des actes de blanchiment visant à occulter le produit des détour- nements présumés commis au préjudice de D.</w:t>
      </w:r>
    </w:p>
    <w:p>
      <w:r>
        <w:t>Lorsque l’autorité étrangère mène une enquête pour blanchiment, il y a lieu de rappeler qu'elle ne doit pas nécessairement apporter la preuve de la commission des actes de blanchiment ou de l’infraction préalable; de sim- ples soupçons concrets sont suffisants sous l’angle de la double punissabi- lité (arrêt du Tribunal pénal fédéral RR.2008.8 du 23 juillet 2008, consid. 2.2.2 et les références citées; v. ég. ZIMMERMANN, La coopération judiciaire internationale en matière pénale, 3e éd., Berne 2009, p. 554, n° 601). La Suisse doit ainsi pouvoir accorder sa collaboration lorsque le soupçon de blanchiment est uniquement fondé sur l’existence de transac- tions suspectes. Tel est notamment le cas lorsqu’on est en présence de transactions dénuées de justification apparente ou d’utilisation de nom- breuses sociétés réparties dans plusieurs pays (arrêt du Tribunal pénal fé- déral RR.2008.69-72 du 14 août 2008, consid. 3.3 et les références citées). L’importance des sommes mises en cause lors des transactions suspectes constitue également un motif de soupçon de blanchiment. Cette interpréta- tion correspond à la notion d’entraide «la plus large possible» dont il est question aux art. 1 CEEJ (v. ATF 129 II 97 consid. 3.2). En l'occurrence, l'importance des sommes d'argent transférées, leur origine inconnue ainsi que le contexte fort suspect dans lequel s'inscrivent ces versements sont autant d'éléments qui, selon la jurisprudence, justifient à eux seuls l'octroi de l'entraide.</w:t>
      </w:r>
    </w:p>
    <w:p>
      <w:r>
        <w:t>Cela dit, dans le cas d'espèce, il convient de relever que, en droit suisse, les faits de la requête peuvent également être constitutifs d'autres infrac- tions, à savoir d'abus de confiance (art. 138 CP) ou de gestion déloyale qualifiée (art. 158 ch. 1 al. 3 CP), celles-ci réalisant également la condition du crime préalable au blanchiment.</w:t>
      </w:r>
    </w:p>
    <w:p>
      <w:r>
        <w:rPr>
          <w:b/>
        </w:rPr>
        <w:t>E. 2.2.2</w:t>
      </w:r>
    </w:p>
    <w:p>
      <w:r>
        <w:t>En ce qui concerne l'abus de confiance, l'art. 138 ch. 1 CP dispose que se- ra puni d'une peine privative de liberté de cinq ans au plus ou d'une peine pécuniaire, celui qui, pour se procurer ou procurer à un tiers un enrichis-</w:t>
      </w:r>
    </w:p>
    <w:p>
      <w:r>
        <w:t>- 8 -</w:t>
      </w:r>
    </w:p>
    <w:p>
      <w:r>
        <w:t>sement illégitime, se sera approprié une chose mobilière appartenant à au- trui et qui lui avait été confiée (al. 1) ou aura employé à son profit ou au profit d'un tiers des valeurs patrimoniales qui lui avaient été confiées (al. 2). Selon la jurisprudence, une chose est confiée au sens de l'art. 138 ch. 1 CP lorsqu'elle est remise ou laissée à l'auteur pour qu'il l'utilise de manière déterminée dans l'intérêt d'autrui, en particulier pour la garder, l'administrer ou la livrer selon des instructions qui peuvent être expresses ou tacites (ar- rêt du Tribunal fédéral 6B_314/2011 du 27 octobre 2011, consid. 2.1 et ré- férences citées). Il y a emploi illicite d'une valeur patrimoniale confiée lors- que l'auteur l'utilise contrairement aux instructions reçues, en s'écartant de la destination fixée (ibidem). Pour ce qui est de la gestion déloyale, l'art. 158 CP dispose pour sa part que celui qui, en vertu de la loi, d'un mandat officiel ou d'un acte juridique, est tenu de gérer les intérêts pécu- niaires d'autrui ou de veiller sur leur gestion et qui, en violation de ses de- voirs, aura porté atteinte à ces intérêts ou aura permis qu'ils soient lésés sera puni d'une peine privative de liberté de trois ans au plus ou d'une pei- ne pécuniaire (ch. 1 al. 1). Si l'auteur a agi dans le dessein de se procurer ou de procurer à un tiers un enrichissement illégitime, le juge pourra pro- noncer une peine privative de liberté de un à cinq ans (ch. 1 al. 3). Cette in- fraction suppose un devoir de gestion ou de sauvegarde, la violation de ce devoir, un dommage et l'intention (arrêt du Tribunal fédéral 6B_472/2011, 6B_489/2011 et 6B_531/2011 du 14 mai 2012, consid. 10.1). La jurispru- dence a établi que les organes de sociétés commerciales peuvent être considérés comme des gérants au sens de cette disposition (ATF 117 IV 259 consid. 5b). La distinction entre l'abus de confiance et la gestion dé- loyale qualifiée (art. 158 ch. 1 al. 3 CP) est délicate. Selon la conception traditionnellement défendue, l'abus de confiance prime la gestion déloyale (DUPUIS et al., Petit commentaire du Code pénal, Bâle 2012, n° 56 ad art. 139 CP et références citées). La question décisive est en réalité de sa- voir si l'auteur accomplit un acte qui, quoique déloyal et préjudiciable, de- meure dans le cadre de ses prérogatives de gérant ou si, au contraire, l'au- teur sort du périmètre qui lui est tracé et détourne les choses mobilières ou les valeurs patrimoniales qui lui ont été confiées. Dans cette dernière hypo- thèse, il faudra retenir l'abus de confiance, alors qu'il y aura gestion déloya- le dans la première (ibidem et références citées).</w:t>
      </w:r>
    </w:p>
    <w:p>
      <w:r>
        <w:t>In casu, les informations fournies par les autorités sud-coréennes, bien que succinctes, permettent d'établir que A. a procédé, pour son profit person- nel, à des détournements préjudiciables à l'entreprise D. et qu'il pourrait, de ce fait et au vu de sa qualité de président de celle-ci, s'être rendu coupable d'abus de confiance (art. 138 CP) ou de gestion déloyale qualifiée (art. 158 ch. 1 al. 3 CP). Le rapport du 5 octobre 2011 de la Police cantonale de sû-</w:t>
      </w:r>
    </w:p>
    <w:p>
      <w:r>
        <w:t>- 9 -</w:t>
      </w:r>
    </w:p>
    <w:p>
      <w:r>
        <w:t>reté du Canton de Vaud, établi dans le cadre de la procédure pénale suisse et versé au dossier de la procédure d'entraide (dossier MPC-VD, fourre 4, pièce 27), indique par ailleurs que A. serait poursuivi par les autorités sud- coréennes pour détournement de fonds, abus de confiance et gestion dé- loyale. Ces éléments permettent, prima facie, de considérer le soupçon de crime préalable comme étant fondé en l'espèce.</w:t>
      </w:r>
    </w:p>
    <w:p>
      <w:r>
        <w:rPr>
          <w:b/>
        </w:rPr>
        <w:t>E. 2.3</w:t>
      </w:r>
    </w:p>
    <w:p>
      <w:r>
        <w:t>Au sujet des contradictions qui seraient, selon le recourant, contenues dans la requête d'entraide (act. 1, p. 9), il y a lieu de relever que la date in- diquée au ch. 6 de la demande d'entraide est à l'évidence le fruit d'une er- reur de plume, la transaction visée, soit celle pour laquelle est requise l'en- traide, datant du 11 septembre 2010 – et non du 11 septembre 2011 –, conformément à ce qui ressort du ch. 3 ainsi que du tableau y figurant. En outre, le fait que les renseignements bancaires mentionnés dans la requête ne correspondraient pas aux éléments ressortant des pièces dont est solli- citée la transmission ne témoigne en rien d'une incohérence de la demande d'entraide. Cette divergence n'est que la preuve de l'importance des infor- mations requises par l'autorité étrangère. Celle-ci doit pouvoir les confron- ter aux autres preuves déjà en sa possession afin d'établir la vérité entou- rant le complexe de fait sur lequel elle enquête. L'on ne saurait ainsi nulle- ment considérer que les renseignements exposés dans la requête sont contradictoires.</w:t>
      </w:r>
    </w:p>
    <w:p>
      <w:r>
        <w:rPr>
          <w:b/>
        </w:rPr>
        <w:t>E. 2.4</w:t>
      </w:r>
    </w:p>
    <w:p>
      <w:r>
        <w:t>Au vu de ce qui précède, force est de conclure que la requête est suffi- samment motivée et que la condition de la double incrimination est réali- sée. Partant, les griefs soulevés par le recourant doivent être rejetés.</w:t>
      </w:r>
    </w:p>
    <w:p>
      <w:r>
        <w:rPr>
          <w:b/>
        </w:rPr>
        <w:t>E. 3</w:t>
      </w:r>
    </w:p>
    <w:p>
      <w:r>
        <w:t>Dans un dernier argument, le recourant considère que la requête d'entraide ne serait pas conforme à la CEDH car la République de Corée mènerait des enquêtes pénales secrètes. Cela ressortirait du fait qu'elle a invité les autorités suisses à garder le secret sur la demande d'entraide. Une telle démarche violerait l'art. 2 let. a EIMP.</w:t>
      </w:r>
    </w:p>
    <w:p>
      <w:r>
        <w:rPr>
          <w:b/>
        </w:rPr>
        <w:t>E. 3.1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et les informations sur lesquelles celles-ci sont fondées (ATF 124 II 124 consid. 2a p. 127; 107 Ib 170 con- sid. 3 p. 175/176, et les arrêts cités). En application de ce principe et en vertu de l’art. 80m EIMP, les décisions de l’autorité d’exécution sont noti- fiées à l’ayant droit domicilié en Suisse (let. a) et à l’ayant droit résidant à</w:t>
      </w:r>
    </w:p>
    <w:p>
      <w:r>
        <w:t>- 10 -</w:t>
      </w:r>
    </w:p>
    <w:p>
      <w:r>
        <w:t>l’étranger qui a élu domicile en Suisse (let. b). Selon l’art. 9 OEIMP, la par- 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w:t>
      </w:r>
    </w:p>
    <w:p>
      <w:r>
        <w:rPr>
          <w:b/>
        </w:rPr>
        <w:t>E. 3.2</w:t>
      </w:r>
    </w:p>
    <w:p>
      <w:r>
        <w:t>En l'occurrence, l'autorité d'exécution n'a prononcé d'interdiction de com- muniquer pour aucune de ses décisions. La banque, destinataire de celles- ci, était ainsi autorisée à informer son client des mesures ordonnées par le MP-VD. Dès lors, l'indication figurant sur la requête d'entraide selon la- quelle les autorités helvétiques étaient invitées à garder secret tout ce qui concernait «[…] la demande de coopération juridique ainsi que les pièces à convictions obtenues dans le cadre de cette demande, en particulier envers toute personne ayant un rapport avec cette affaire […]» n'a pas déployé d'effets lors de l'exécution de la requête. Le recourant n'a ainsi subi aucun préjudice, en particulier dans son droit d'être entendu.</w:t>
      </w:r>
    </w:p>
    <w:p>
      <w:r>
        <w:rPr>
          <w:b/>
        </w:rPr>
        <w:t>E. 3.3</w:t>
      </w:r>
    </w:p>
    <w:p>
      <w:r>
        <w:t>S'agissant de la procédure pénale sud-coréenne, malgré les allégations du recourant, allégations pour le surplus non étayées, il n'existe in casu au- cune indication sérieuse et concrète qui porterait à croire que l'enquête étrangère ne serait pas conforme aux principes procéduraux fixés par la CEDH ou par le Pacte international du 16 décembre 1966 relatif aux droits civils et politiques.</w:t>
      </w:r>
    </w:p>
    <w:p>
      <w:r>
        <w:rPr>
          <w:b/>
        </w:rPr>
        <w:t>E. 3.4</w:t>
      </w:r>
    </w:p>
    <w:p>
      <w:r>
        <w:t>Ce grief apparaît ainsi également mal-fondé.</w:t>
      </w:r>
    </w:p>
    <w:p>
      <w:r>
        <w:rPr>
          <w:b/>
        </w:rPr>
        <w:t>E. 4</w:t>
      </w:r>
    </w:p>
    <w:p>
      <w:r>
        <w:t>Les considérants qui précèdent conduisent en conséquence au rejet du recours dans la mesure de sa recevabilité.</w:t>
      </w:r>
    </w:p>
    <w:p>
      <w:r>
        <w:rPr>
          <w:b/>
        </w:rPr>
        <w:t>E. 5</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Les recou- rants qui succombent supporteront solidairement les frais du présent arrêt, lesquels se limitent à un émolument fixé à CHF 5'000.-- (art. 73 al. 2 LOAP et art. 8 al. 3 du règlement du Tribunal pénal fédéral sur les frais, émolu- ments, dépens et indemnités de la procédure pénale fédérale du 31 août</w:t>
      </w:r>
    </w:p>
    <w:p>
      <w:r>
        <w:t>- 11 -</w:t>
      </w:r>
    </w:p>
    <w:p>
      <w:r>
        <w:t>2010 [REPPF; RS 173.713.162] et art. 63 al. 5 PA), couvert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