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RR.2012.261 vom 31. Januar 2013</w:t>
      </w:r>
    </w:p>
    <w:p>
      <w:r>
        <w:t>Bundesstrafgericht, 2013-01-31, FR</w:t>
      </w:r>
    </w:p>
    <w:p>
      <w:r>
        <w:rPr>
          <w:b/>
        </w:rPr>
        <w:t xml:space="preserve">Quelle: </w:t>
      </w:r>
      <w:r>
        <w:t>https://mcp.opencaselaw.ch/entscheid/bstger_RR.2012.261</w:t>
      </w:r>
    </w:p>
    <w:p>
      <w:r>
        <w:t>FR: TPF RR.2012.261 du 31 janvier 2013</w:t>
      </w:r>
    </w:p>
    <w:p>
      <w:r>
        <w:t>IT: TPF RR.2012.261 del 31 gennaio 2013</w:t>
      </w:r>
    </w:p>
    <w:p>
      <w:pPr>
        <w:pStyle w:val="Heading2"/>
      </w:pPr>
      <w:r>
        <w:t>Regeste</w:t>
      </w:r>
    </w:p>
    <w:p>
      <w:r>
        <w:t>Entraide à l'Espagne. Remise de moyens de preuve (art. 74 EIMP).</w:t>
      </w:r>
    </w:p>
    <w:p>
      <w:pPr>
        <w:pStyle w:val="Heading2"/>
      </w:pPr>
      <w:r>
        <w:t>Erwägungen</w:t>
      </w:r>
    </w:p>
    <w:p>
      <w:r>
        <w:rPr>
          <w:b/>
        </w:rPr>
        <w:t>E. 1.1</w:t>
      </w:r>
    </w:p>
    <w:p>
      <w:r>
        <w:t>La Confédération suisse et le Royaume d'Espagne sont tous deux parties à la Convention européenne d'entraide judiciaire en matière pénale et ses protocoles additionnels (CEEJ; RS 0.351.1 et suivants). Les art. 48 ss de la Convention d'application de l'Accord Schengen du 14 juin 1985 (CAAS; n° CELEX 42000A0922(02); Journal officiel de l'Union européenne L 239 du 22 septembre 2000, p. 19 à 62) s'appliquent également à l'entraide pé- nale entre ces deux Etats. Les dispositions de ces traités l'emportent sur le droit autonome qui régit la matière, soit la loi sur l'entraide pénale interna- tionale (EIMP; RS 351.1) et son ordonnance d'exécution (OEIMP; RS 351.11). Le droit interne reste toutefois applicable aux questions non ré- glées, explicitement ou implicitement, par le traité et lorsqu'il est plus favo- rable à l'entraide (ATF 137 IV 33 consid. 2.2.2; 136 IV 82 consid. 3.1;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37 al. 2 lit. a de la loi fédérale sur l'organisation des autori- 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fédérale d'exécution.</w:t>
      </w:r>
    </w:p>
    <w:p>
      <w:r>
        <w:rPr>
          <w:b/>
        </w:rPr>
        <w:t>E. 1.3</w:t>
      </w:r>
    </w:p>
    <w:p>
      <w:r>
        <w:t>Le recours a été déposé dans les délais.</w:t>
      </w:r>
    </w:p>
    <w:p>
      <w:r>
        <w:rPr>
          <w:b/>
        </w:rPr>
        <w:t>E. 2.1</w:t>
      </w:r>
    </w:p>
    <w:p>
      <w:r>
        <w:t>Selon l'art. 80h lit. b EIMP, la qualité pour recourir contre une mesure d'en- traide judiciaire est reconnue à celui qui est personnellement et directement touché par la mesure d'entraide. La personne touchée par la procédure pénale étrangère peut recourir aux mêmes conditions (art. 21 al. 3 EIMP). Aux termes de l'art. 9a lit. a OEIMP, est notamment réputé personnelle-</w:t>
      </w:r>
    </w:p>
    <w:p>
      <w:r>
        <w:t>ment et directement touché au sens des art. 21 al. 3 et 80h EIMP, en cas d'informations sur un compte, le titulaire du compte dont les documents font l'objet de la décision de clôture. La jurisprudence afférente à cette dis- position consacre le principe selon lequel le titulaire du compte est seul ha- bilité à recourir, à l'exclusion de toute autre personne touchée plus ou moins directement. Dans ce contexte, l'ayant-droit économique du compte visé n'est ainsi pas légitimé à recourir même si la transmission des rensei- gnements requis entraîne la révélation de son identité (ATF 130 II 162; BOMIO/GLASSEY, La qualité pour recourir dans le domaine de l'entraide ju- diciaire internationale en matière pénale, in Jusletter 13 décembre 2010, no 25). A teneur de l'art. 9a lit. b OEIMP, en cas de perquisition, est notamment ré- puté personnellement et directement touché le propriétaire ou le locataire des locaux. Cette disposition est à interpréter en ce sens que la personne – physique ou morale – qui doit se soumettre personnellement à une perqui- sition ou à un séquestre d’objets ou de valeurs a en principe la qualité pour agir, au regard de l’art. 80h lit. b EIMP; il peut notamment s’agir du proprié- taire ou du locataire des locaux perquisitionnés. La jurisprudence constante dénie en revanche la qualité pour agir à la personne concernée par des documents saisis en mains tierces, quand bien même ces documents contiennent des informations à son sujet (BOMIO/GLASSEY, op. cit., no 36). En définitive, le critère déterminant au sens de cette disposition est la maî- trise effective au moment de la perquisition ou de la saisie (BO- MIO/GLASSEY, op. cit., no 40). Il sied enfin de relever que, lorsque des in- formations bancaires sont saisies auprès d’une personne (par exemple une fiduciaire ou une autorité) qui n’est pas titulaire du compte, seul le titulaire du compte sera légitimé à recourir contre la transmission des informations bancaires, en application de l’art. 9a lit. a OEIMP, lequel constitue une lex specialis par rapport à l’art. 9a lit. b OEIMP (BOMIO/GLASSEY, op. cit., no 41). En ce qui concerne enfin la transmission du procès-verbal de l’audition d’un témoin par voie d’entraide, la jurisprudence constante n’admet la qualité pour recourir que de façon limitée. Seule la personne entendue est admise à recourir contre la transmission des procès-verbaux d’audition la concer- nant et uniquement dans la mesure où les renseignements qu’elle est ap- pelée à fournir la concernent personnellement ou lorsqu’elle se prévaut de son droit de refuser de témoigner (BOMIO/GLASSEY, op. cit., no 61 et réfé- rences citées).</w:t>
      </w:r>
    </w:p>
    <w:p>
      <w:r>
        <w:rPr>
          <w:b/>
        </w:rPr>
        <w:t>E. 2.2</w:t>
      </w:r>
    </w:p>
    <w:p>
      <w:r>
        <w:t>Une des deux décisions attaquées prévoit la remise de la documentation bancaire saisie auprès de la banque C. relative aux comptes ouverts au</w:t>
      </w:r>
    </w:p>
    <w:p>
      <w:r>
        <w:t>nom de D., la fille majeure du recourant, et de la société E. SA (act. 1.1.1). Le recourant n'est pas titulaire des comptes concernés; il n'a donc pas la qualité pour remettre en cause la transmission de la documentation y rela- tive. Sur ce point son recours est irrecevable. Tel est également le cas s'agissant de la documentation saisie auprès de la société de B., F. SA. En effet, le recourant n'étant ni le locataire ni le pro- priétaire des locaux, il n'a pas la qualité pour s'opposer à la transmission des documents saisis lors de la perquisition concernée. Au surplus, aucun des documents saisis ne contient des informations bancaires qui pourraient le concerner. S'agissant enfin de la transmission du procès-verbal d'audition de B., seul ce dernier aurait pu s'y opposer. En effet, les informations qu'il contient n'affectent en rien les données protégées par un secret dont le recourant serait titulaire (act. 1.6).</w:t>
      </w:r>
    </w:p>
    <w:p>
      <w:r>
        <w:rPr>
          <w:b/>
        </w:rPr>
        <w:t>E. 2.3</w:t>
      </w:r>
    </w:p>
    <w:p>
      <w:r>
        <w:t>Les considérants qui précèdent conduisent à l'irrecevabilité du recours.</w:t>
      </w:r>
    </w:p>
    <w:p>
      <w:r>
        <w:rPr>
          <w:b/>
        </w:rPr>
        <w:t>E. 3</w:t>
      </w:r>
    </w:p>
    <w:p>
      <w:r>
        <w:t>En tant que partie qui succombe, le recourant doit supporter les frais du présent arrêt (art. 63 al. 1 PA), lesquels seront fixés à CHF 500.-- (art. 8 al. 3 RFPPF et art. 63 al. 5 PA), réputés couverts par l'avance de frais acquittée; le solde lui sera restitué.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