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RR.2012.257 vom 2. Juli 2013</w:t>
      </w:r>
    </w:p>
    <w:p>
      <w:r>
        <w:t>Bundesstrafgericht, 2013-07-02, FR</w:t>
      </w:r>
    </w:p>
    <w:p>
      <w:r>
        <w:rPr>
          <w:b/>
        </w:rPr>
        <w:t xml:space="preserve">Quelle: </w:t>
      </w:r>
      <w:r>
        <w:t>https://mcp.opencaselaw.ch/entscheid/bstger_RR.2012.257</w:t>
      </w:r>
    </w:p>
    <w:p>
      <w:r>
        <w:t>FR: TPF RR.2012.257 du 2 juillet 2013</w:t>
      </w:r>
    </w:p>
    <w:p>
      <w:r>
        <w:t>IT: TPF RR.2012.257 del 2 luglio 2013</w:t>
      </w:r>
    </w:p>
    <w:p>
      <w:pPr>
        <w:pStyle w:val="Heading2"/>
      </w:pPr>
      <w:r>
        <w:t>Regeste</w:t>
      </w:r>
    </w:p>
    <w:p>
      <w:r>
        <w:t>Entraide judiciaire internationale en matière pénale à la Norvège. Remise de moyens de preuve (art. 74 EIMP).</w:t>
      </w:r>
    </w:p>
    <w:p>
      <w:pPr>
        <w:pStyle w:val="Heading2"/>
      </w:pPr>
      <w:r>
        <w:t>Erwägungen</w:t>
      </w:r>
    </w:p>
    <w:p>
      <w:r>
        <w:rPr>
          <w:b/>
        </w:rPr>
        <w:t>E. 1</w:t>
      </w:r>
    </w:p>
    <w:p>
      <w:r>
        <w:t>La Confédération suisse et le Royaume de Norvège sont tous deux parties à la Convention européenne d’entraide judiciaire en matière pénale (CEEJ; RS 0.351.1) entrée en vigueur le 12 juin 1962 pour la Norvège et le 20 mars 1967 pour la Suisse. A compter du 12 décembre 2008, les art. 48 ss de la Convention d’application de l’Accord Schengen du 14 juin 1985 (CAAS; n° CELEX 42000A0922(02); Journal officiel de l’Union européenne L 239 du 22 septembre 2000, p. 19 à 62) s’appliquent également à l’entraide pénale entre ces deux Etats. Les dispositions de ces traités l’emportent sur le droit autonome qui régit la matière, soit la loi fédérale sur l’entraide internationale en matière pénale (EIMP; RS 351.1) et son ordon- nance d’exécution (OEIMP; RS 351.11). Le droit interne reste toutefois ap- plicable aux questions non réglées, explicitement ou implicitement, par le traité lorsqu’il est plus favorable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 sid. 7c).</w:t>
      </w:r>
    </w:p>
    <w:p>
      <w:r>
        <w:rPr>
          <w:b/>
        </w:rPr>
        <w:t>E. 1.1</w:t>
      </w:r>
    </w:p>
    <w:p>
      <w:r>
        <w:t>En vertu de l’art. 37 al. 2 let. a de la loi fédérale sur l’organisation des auto- rités pénales de la Confédération (LOAP; RS 173.71), mis en relation avec les art. 25 al. 1 et 80e al. 1 et 19 al. 1 du règlement sur l’organisation du Tribunal pénal fédéral (ROTPF; RS 173.713.161), la Cour des plaintes du Tribunal pénal fédéral est compétente pour connaître des recours dirigés</w:t>
      </w:r>
    </w:p>
    <w:p>
      <w:r>
        <w:t>- 8 -</w:t>
      </w:r>
    </w:p>
    <w:p>
      <w:r>
        <w:t>contre les décisions de clôture de la procédure d’entraide rendues par l’autorité fédérale d’exécution.</w:t>
      </w:r>
    </w:p>
    <w:p>
      <w:r>
        <w:rPr>
          <w:b/>
        </w:rPr>
        <w:t>E. 1.2.1</w:t>
      </w:r>
    </w:p>
    <w:p>
      <w:r>
        <w:t>Selon l'art. 80h let. b EIMP, la qualité pour recourir contre une mesure d'en- traide judiciaire est reconnue à celui qui est personnellement et directement touché par la mesure d’entraide. La personne visée par la procédure péna- le étrangère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Exceptionnellement la qualité pour agir est reconnue à l'ayant droit d'une société titulaire de compte lorsque celle- ci a été dissoute, sous réserve de l'abus de droit (ATF 123 II 153 consid. 2c et dd). Il appartient dans ce cas à l'ayant droit de prouver la liquidation, do- cuments officiels à l'appui (arrêts du Tribunal fédéral 1A.10/2000 du 18 mai 2000, consid. 1e, in Praxis 2000 no 133 p. 790 ss; 1A.131/1999 du 26 août 1999, consid. 3 et 1A.236/1998 du 25 janvier 1999, consid. 1b/bb). Il faut en outre que l'acte de dissolution indique clairement l'ayant droit comme son bénéficiaire (arrêt 1A.216/2001 du 21 mars 2002, consid. 1.3; 1A.84/1999 du 31 mai 1999, consid. 2c), et que la liquidation n'apparaisse pas abusive, le Tribunal fédéral ayant toutefois récemment eu l'occasion de préciser que la preuve de la liquidation de la société en faveur de l'ayant droit économique pouvait être apportée par d'autres moyens que la seule attestation de dissolution (arrêt du Tribunal fédéral 1C_370/2012 du</w:t>
      </w:r>
    </w:p>
    <w:p>
      <w:r>
        <w:rPr>
          <w:b/>
        </w:rPr>
        <w:t>E. 1.2.2</w:t>
      </w:r>
    </w:p>
    <w:p>
      <w:r>
        <w:t>En l'espèce, la société titulaire du compte visé par la mesure d'entraide, soit M. Ltd, a été dissoute et liquidée le 29 novembre 2011 (act. 1.11a- 1.11d). Le compte en question a été clôturé le 31 mars 2011. Les avoirs disponibles au moment de la clôture du compte ont été transférés à hau- teur de USD 9 mios sur un compte en Hollande, dont l'ayant droit économi- que est le recourant A. (act. 10.1 à 10.7), et à hauteur de USD 85'029.-- sur un compte libellé au nom de la société O. Ltd dont l'ayant droit économique est également le recourant (act. 1.14).</w:t>
      </w:r>
    </w:p>
    <w:p>
      <w:r>
        <w:t>- 9 -</w:t>
      </w:r>
    </w:p>
    <w:p>
      <w:r>
        <w:t>Il ressort ainsi des éléments au dossier que le recourant a dès l'origine été le seul ayant droit économique des comptes sur lesquels a été transféré le solde des avoirs déposés sur le compte M. Ltd, avant que ce dernier ne soit clôturé et que cette société ne soit dissoute et liquidée. Force est dès lors de constater que, à la lumière des principes applicables dans une constellation telle que la présente – en particulier les précisions jurispru- dentielles récentes de la part du Tribunal fédéral (v. supra consid. 1.2.1 in fine) –, le recourant remplit les conditions requises pour se voir exception- nellement reconnaître la qualité pour recourir contre une mesure d'entraide visant le compte de la société M. Ltd dissoute et liquidée. La dissolution de cette dernière ne saurait au demeurant être considérée comme "abusive" au sens où l'entend la jurisprudence. En effet, si la dissolution est certes in- tervenue en 2011, soit au cours de l'année ayant vu les autorités de pour- suite pénale norvégiennes débuter leurs investigations, il ressort du dossier que le grand public a, par le biais d'un communiqué de presse émanant de la société B. (demande d'entraide, annexe 4), été informé de l'ouverture des poursuites en date du 13 avril 2011 déjà. Or les démarches ayant conduit à la dissolution de la société ont, selon l'état du dossier soumis à la Cour, débuté le 11 novembre 2011 seulement, pour aboutir en date du 29 novembre suivant. Le fait que près de sept mois séparent l'annonce, dans les médias, de l'existence d'une enquête pénale en Norvège et le dé- but des démarches ayant conduit à la dissolution de la M. Ltd ne permet pas de retenir le caractère "concomitant" de ces deux faits. Il n'existe par- tant pas suffisamment d'éléments pour conclure, en l'espèce, au caractère abusif de la dissolution.</w:t>
      </w:r>
    </w:p>
    <w:p>
      <w:r>
        <w:rPr>
          <w:b/>
        </w:rPr>
        <w:t>E. 1.3</w:t>
      </w:r>
    </w:p>
    <w:p>
      <w:r>
        <w:t>Le délai de recours contre la décision de clôture est de 30 jours dès la communication écrite de celle-ci (art. 80k EIMP). Déposé à un bureau de poste suisse le 2 novembre 2012, le recours contre la décision du</w:t>
      </w:r>
    </w:p>
    <w:p>
      <w:r>
        <w:rPr>
          <w:b/>
        </w:rPr>
        <w:t>E. 1.4</w:t>
      </w:r>
    </w:p>
    <w:p>
      <w:r>
        <w:t>Le recours est ainsi recevable en la forme.</w:t>
      </w:r>
    </w:p>
    <w:p>
      <w:r>
        <w:t>2. Le recourant reproche en premier lieu à l’autorité d’exécution d’avoir violé son droit d’être entendu, sous l’angle du droit à une décision motivée (act. 1, p. 16 s.). Le MPC n'aurait "examiné aucun des arguments exposés" par le recourant dans ses déterminations du 13 juillet 2012, n'aurait "pas pris la peine de relever ne serait-ce que l'existence" desdits arguments, "et encore moins d'y répondre" (act. 1, p. 16).</w:t>
      </w:r>
    </w:p>
    <w:p>
      <w:r>
        <w:t>- 10 -</w:t>
      </w:r>
    </w:p>
    <w:p>
      <w:r>
        <w:t>2.1 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 sion et l'attaquer à bon escient (ATF 126 I 15 consid. 2a/aa; 125 II 369 consid. 2c; 124 II 146 consid. 2a; 124 V 180 consid. 1a et les arrêts cités).</w:t>
      </w:r>
    </w:p>
    <w:p>
      <w:r>
        <w:t>2.2 La décision entreprise contient, sous son chiffre II consacré à l'"[o]ctroi de l'entraide judiciaire", notamment deux paragraphes libellés comme suit: "4. La demande satisfait, du point de vue matériel et formel, aux exigences lé- gales et à celles des traités internationaux (art. 5 CEEJ, art. 6 CBl). L'état de fait décrit dans la demande d'entraide judiciaire correspond prima facie aux élé- ments constitutifs de la corruption d'agents publics étrangers (art. 322septies CP), si bien que la condition de la double incrimination est remplie et qu'il peut être ordonné des mesures de contrainte (art. 64 EIMP).</w:t>
      </w:r>
    </w:p>
    <w:p>
      <w:r>
        <w:rPr>
          <w:b/>
        </w:rPr>
        <w:t>E. 3</w:t>
      </w:r>
    </w:p>
    <w:p>
      <w:r>
        <w:t>octobre 2012, consid. 2.7 in fine). S'agissant du caractère abusif de la li- quidation, la jurisprudence retient que tel serait par exemple le cas si elle était intervenue, sans raison économique apparente, dans un délai proche de l'ouverture de l'action pénale dans l'Etat requérant (arrêt du Tribunal fé- déral 1A.10/2000 du 18 mai 2000, consid. 2, in Praxis 2000 no 133 p. 790 ss).</w:t>
      </w:r>
    </w:p>
    <w:p>
      <w:r>
        <w:rPr>
          <w:b/>
        </w:rPr>
        <w:t>E. 3.1</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prima fa- 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 mis aux mêmes conditions de punissabilité ou passibles de peines équiva- lentes; il suffit qu’ils soient réprimés, dans les deux Etats, comme des délits donnant lieu ordinairement à la coopération internationale (ATF 124 II 184 consid. 4b/cc; 117 Ib 337 consid. 4a; 112 Ib 225 consid. 3c et les arrêts ci- tés).</w:t>
      </w:r>
    </w:p>
    <w:p>
      <w:r>
        <w:t>- 13 -</w:t>
      </w:r>
    </w:p>
    <w:p>
      <w:r>
        <w:rPr>
          <w:b/>
        </w:rPr>
        <w:t>E. 3.2</w:t>
      </w:r>
    </w:p>
    <w:p>
      <w:r>
        <w:t>En l’espèce, il ressort clairement des faits présentés à l’appui de la requête norvégienne (v. supra let. A) que les autorités de ce pays soupçonnent une ou plusieurs personnes d'avoir perçu des pots-de-vin dans le cadre d'une négociation entre, d'un côté, la société norvégienne B., important produc- teur d'engrais actif au plan international, et de l'autre, la société C., société que la demande d'entraide décrit comme "appartenant à l'Etat" V. (deman- de d'entraide, p. 3). Cette dernière était, à la connaissance de l'autorité re- quérante, notamment habilitée à délivrer des licences d'exploration pétroliè- re. Les faits sous enquête remonteraient à la période 2004-2009 et auraient eu pour cadre les pourparlers contractuels ayant précédé les investisse- ments que la société B. a finalement opérés dans le pays V., sous la forme d'exploitation d'usines d'ammoniaque et d'urée (demande d'entraide, an- nexe 4). La demande d'entraide précise que le père du recourant – ancien premier ministre du pays V. – était à la tête de la société C. au moment des faits, et avait également occupé la fonction de ministre de l'économie par le passé. Dans le cadre de ses investigations, le parquet norvégien a mis à jour le fait que la société B. a, en 2008, reçu une "demande supplémentai- re" d'argent en lien avec la négociation en cours (demande d'entraide, p. 2). Il est apparu que dite demande n'était fondée sur aucune contrepartie contractuelle, ce dont les enquêteurs tirent deux conclusions. La première est que cette demande est susceptible d'être le paravent pour le paiement d'un pot-de-vin. La seconde est qu'un ou plusieurs paiements ont dû pré- céder cette demande "supplémentaire". Sur le vu de ces éléments, on comprend de la demande d'entraide norvégienne que l'autorité requérante soupçonne à tout le moins le père du recourant de s'être fait promettre un avantage indu, sous la forme de pots-de-vin, pour l'exécution ou l'omission d'un acte en relation avec son activité professionnelle ou commerciale et qui dépende de son pouvoir d'appréciation. Pareil comportement réalise à première vue les conditions objectives de l'infraction de corruption passive, au sens de l'art. 4a let. b de la loi fédérale du 19 décembre 1986 sur la concurrence déloyale (LCD; RS 241), mis en relation avec l’art. 23 LCD. Si les avantages indus ont été sollicités par le père du recourant en sa qualité de ministre, le comportement correspond prima facie à l'infraction de cor- ruption passive d'agents publics étrangers au sens de l'art. 322septies al. 2 CP. Le fait que la demande d'entraide ne mentionne pas expressément l'acte ou les actes que le père du recourant aurait exécutés – ou omis – en contrepartie de l'avantage indu ne saurait conduire à la conclusion que la condition de la double incrimination ne serait pas réalisée, et ce pour deux raisons au moins. La première est que l'enquête norvégienne a précisé- ment pour but de faire la lumière sur cette question; la seconde est que les éléments fournis par l'autorité requérante à l'appui de sa demande – et</w:t>
      </w:r>
    </w:p>
    <w:p>
      <w:r>
        <w:t>- 14 -</w:t>
      </w:r>
    </w:p>
    <w:p>
      <w:r>
        <w:t>mentionnés ci-dessus – suffisent, à première vue, à induire que le père du recourant aurait usé de sa position et de ses relations pour faciliter l'implan- tation de la société B. dans le pays V.</w:t>
      </w:r>
    </w:p>
    <w:p>
      <w:r>
        <w:t>Il découle des considérations qui précèdent que le grief tiré de l'absence de double incrimination est, lui aussi, mal fondé et doit être rejeté.</w:t>
      </w:r>
    </w:p>
    <w:p>
      <w:r>
        <w:t>4. Le recourant se plaint ensuite d’une violation du principe de la proportion- nalité, et ce sous plusieurs angles. Il n'existerait ainsi "pas d'élément per- mettant de déterminer le prétendu lien entre les comptes saisis et l'infrac- tion poursuivie"; la demande d'entraide constituerait une "fishing expedi- tion"; les documents requis porteraient "sur des périodes dépassant large- ment la période pénale visée dans la commission rogatoire"; enfin, la transmission des documents ordonnée par l'autorité d'exécution porterait "atteinte à [sa] sphère privée" (act. 1, p. 22 ss).</w:t>
      </w:r>
    </w:p>
    <w:p>
      <w:r>
        <w:rPr>
          <w:b/>
        </w:rPr>
        <w:t>E. 4</w:t>
      </w:r>
    </w:p>
    <w:p>
      <w:r>
        <w:t>octobre 2012 est intervenu en temps utile.</w:t>
      </w:r>
    </w:p>
    <w:p>
      <w:r>
        <w:rPr>
          <w:b/>
        </w:rPr>
        <w:t>E. 4.1.1</w:t>
      </w:r>
    </w:p>
    <w:p>
      <w:r>
        <w:t>La question de savoir si, au vu du principe de la proportionnalité, les ren- seignements demandés sont nécessaires ou simplement utiles à la procé- dure pénale est en principe laissée à l’appréciation des autorités de pour- 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 trats chargés de l’instruction. La coopération ne peut dès lors être refusée que si les actes requis sont manifestement sans rapport ("offensichtlich ir- relevant") avec l’infraction poursuivie et impropres à faire progresser l’enquête, de sorte que la demande apparaît comme le prétexte à une re- cherche indéterminée de moyens de preuves (arrêt du Tribunal pénal fédé- ral RR.2009.33-36 du 25 juin 2009, consid. 3.1 et la jurisprudence citée). Le principe de la proportionnalité interdit en outre à l’autorité suisse d’aller au-delà des requêtes qui lui sont adressées et d’accorder à l’Etat requérant plus que ce qu’il a demandé. Cela n’empêche pas d’interpréter la demande selon le sens que l’on peut raisonnablement lui donner. Le cas échéant, une interprétation large est admissible s’il est établi que toutes les condi- tions à l’octroi de l’entraide sont remplies; ce mode de procéder permet d’éviter aussi d’éventuelles demandes complémentaires (arrêt du Tribunal pénal fédéral RR.2008.94 du 13 octobre 2008, consid. 3.1 et la jurispru- dence citée).</w:t>
      </w:r>
    </w:p>
    <w:p>
      <w:r>
        <w:t>- 15 -</w:t>
      </w:r>
    </w:p>
    <w:p>
      <w:r>
        <w:rPr>
          <w:b/>
        </w:rPr>
        <w:t>E. 4.1.2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cheminement de fonds ayant potentiellement servi à des actes de corrup- tion, il convient d'informer l'Etat requérant de toutes les transactions opé- rées au nom des sociétés et par le biais des comptes impliqués dans l'af- faire (ATF 121 II 241 consid. 3c). L’utilité de la documentation bancaire dé- coule du fait que l’autorité requérante peut vouloir vérifier que les agisse- ments qu’elle connaît déjà n’ont pas été précédés ou suivis d’autres actes du même genre (cf. arrêts du Tribunal fédéral 1A.259/2006 du 26 janvier 2007, consid. 2.2; 1A.75/2006 du 20 juin 2006, consid. 3.2; 1A.79/2005 du 27 avril 2005, consid. 4.2; 1A.59/2005 du 26 avril 2005, consid. 6.2). Cela justifie la production de l’ensemble de la documentation bancaire, sur une période relativement étendue (cf. arrêts du Tribunal pénal fédéral RR.2009.142-147 du 5 août 2009, consid. 2.3 et RR.2008.287 du 9 avril 2009, consid. 2.2.4). Dans un tel cas, il se justifie en principe de transmet- tre les pièces, à moins qu’il ne soit établi, d’emblée et de manière indiscu- table, que certaines ne présentent aucun lien, de quelque sorte que ce soit, avec les faits décrits dans la demande (cf. arrêts du Tribunal pénal fédéral RR.2008.8 du 23 juillet 2008, consid. 3.2; RR.2007.180-181 du 8 mai 2008, consid. 4.3).</w:t>
      </w:r>
    </w:p>
    <w:p>
      <w:r>
        <w:rPr>
          <w:b/>
        </w:rPr>
        <w:t>E. 4.1.3</w:t>
      </w:r>
    </w:p>
    <w:p>
      <w:r>
        <w:t>Dans le cadre de la procédure d’entraide, la personne touchée par la saisie est tenue, à peine de forclusion, d’indiquer à l’autorité quels documents ne devraient pas, selon elle, être transmis et pour quels motifs. Le tri des pièces n’est ainsi pas l’affaire exclusive de l’autorité; à cet égard, un véri- table devoir de collaboration incombe au détenteur (arrêt du Tribunal fédé- ral 1A.216/2001 du 21 mars 2002, consid. 3.1; ATF 130 II 14 consid. 4.3).</w:t>
      </w:r>
    </w:p>
    <w:p>
      <w:r>
        <w:rPr>
          <w:b/>
        </w:rPr>
        <w:t>E. 4.2</w:t>
      </w:r>
    </w:p>
    <w:p>
      <w:r>
        <w:t>L'autorité requérante enquête sur le déroulement des négociations ayant mené à la constitution en 2009 d'une "coentreprise" – nommée "K." – dont les participations émanaient de la société B., pour 50%, de la société C., pour 25%, et de la société R., pour 25%. Il ressort de la demande norvé- gienne du 5 septembre 2011 que l'autorité pénale a des raisons de soup-</w:t>
      </w:r>
    </w:p>
    <w:p>
      <w:r>
        <w:t>- 16 -</w:t>
      </w:r>
    </w:p>
    <w:p>
      <w:r>
        <w:t>çonner l'un ou l'autre des participants aux négociations d'avoir perçu des pots-de-vin dans le cadre des tractations dont le début remonte à 2004. C'est ainsi sur de possibles actes de corruption que porte l'enquête en cours dans l'Etat requérant. Les pots-de-vin en question auraient, toujours selon la demande d'entraide, été versés par des représentants de D. Ltd, d'une part, et de E. SA, d'autre part. C'est la raison pour laquelle l'autorité requérante a, par demande du 5 septembre 2011 complétée le 1er novem- bre 2011, requis la perquisition des sièges suisses de ces sociétés, ainsi que de deux autres entités liées, de même que l'audition de certains de leurs employés.</w:t>
      </w:r>
    </w:p>
    <w:p>
      <w:r>
        <w:rPr>
          <w:b/>
        </w:rPr>
        <w:t>E. 4.2.1</w:t>
      </w:r>
    </w:p>
    <w:p>
      <w:r>
        <w:t>L'exécution de cette première demande, et en particulier les informations recueillies lors de l'audition du dénommé G. (v. supra let. A in fine), ancien directeur de D. Ltd et de E. SA, a conduit l'autorité requérante à s'adresser une nouvelle fois à la Suisse pour obtenir des renseignements sur la socié- té J. AG susceptible d'avoir joué un rôle dans le complexe de faits sous en- quête. L'exécution de cette requête complémentaire, et tout spécialement la documentation bancaire saisie dans les locaux de la société J. AG, a permis au MPC de mettre en évidence le versement d'un montant "compa- tible avec les soupçons formés par Oekokrim, durant la période de négo- ciation entre la société B. et la société K., sur un compte à la banque L." (v. supra let. C in fine). C'est la raison pour laquelle l'autorité d'exécution a requis de la banque L. l'édition de la documentation bancaire relative au compte récipiendaire du pot-de-vin présumé, soit la relation no 1 libellée au nom de la société M. Ltd. Sur le vu des éléments qui précèdent, force est d'admettre qu'il existe un rapport objectif entre le recourant – ayant droit économique de la société dissoute M. Ltd dont le compte bancaire a poten- tiellement servi à recueillir des pots-de-vin –, d'une part, et les infractions faisant l'objet des investigations norvégiennes, d'autre part.</w:t>
      </w:r>
    </w:p>
    <w:p>
      <w:r>
        <w:rPr>
          <w:b/>
        </w:rPr>
        <w:t>E. 4.2.2</w:t>
      </w:r>
    </w:p>
    <w:p>
      <w:r>
        <w:t>Dans le cas d'espèce, en vertu de la jurisprudence mentionnée plus haut (v. supra consid. 4.1.2), s'agissant d’un compte susceptible d’avoir joué un rôle dans le cadre du processus mis en place pour verser des pots-de-vin, l’autorité requérante a intérêt à pouvoir prendre connaissance de la docu- mentation d’ouverture, afin notamment de connaître l’identité de l’ayant droit économique et des signataires autorisés. Elle dispose également d’un intérêt à être informée de toute transaction susceptible de s’inscrire dans le mécanisme mis en place par les prévenus sous enquête dans le pays re- quérant.</w:t>
      </w:r>
    </w:p>
    <w:p>
      <w:r>
        <w:t>Certes, il se peut également que le compte litigieux n'ait pas servi à rece- voir le produit d’infractions pénales, ni à opérer des virements illicites.</w:t>
      </w:r>
    </w:p>
    <w:p>
      <w:r>
        <w:t>- 17 -</w:t>
      </w:r>
    </w:p>
    <w:p>
      <w:r>
        <w:t>L’autorité requérante n'en dispose pas moins d'un intérêt à pouvoir le véri- fier elle-même, sur le vu d'une documentation complète, étant rappelé que l’entraide vise non seulement à recueillir des preuves à charge, mais éga- lement à décharge (ATF 118 Ib 547 consid. 3a; arrêt du Tribunal fédéral 1A.88/2006 du 22 juin 2006, consid. 5.3; arrêt du Tribunal pénal fédéral RR.2007.29 du 30 mai 2007, consid 4.2). Selon la jurisprudence, le princi- 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 rant à prouver des faits révélés par l’enquête qu’il conduit, mais d’en dévoi- ler d’autres, s’ils existent. Il en découle, pour l’autorité d’exécution, un de- voir d’exhaustivité, qui justifie de communiquer tous les éléments qu’elle a réunis, propres à servir l’enquête étrangère, afin d’éclairer dans tous ses aspects les rouages du mécanisme délictueux poursuivi dans l’Etat requé- rant (arrêts du Tribunal pénal fédéral RR.2010.173 du 13 octobre 2010, consid. 4.2.4/a et RR.2009.320 du 2 février 2010, consid. 4.1; ZIMMER- MANN, La coopération judiciaire internationale en matière pénale, 3e éd., Berne 2009, n° 722, p. 673 s.).</w:t>
      </w:r>
    </w:p>
    <w:p>
      <w:r>
        <w:rPr>
          <w:b/>
        </w:rPr>
        <w:t>E. 4.2.3</w:t>
      </w:r>
    </w:p>
    <w:p>
      <w:r>
        <w:t>En l’espèce, l’autorité d’exécution entend transmettre la documentation d’ouverture du compte no 1 dont le recourant était l'ayant droit économique, les relevés dudit compte, les justificatifs, les correspondances et l'historique client. Si le compte en question ne figure pas au nombre des informations expressément requises par les autorités norvégiennes, les éléments expo- sés par l'autorité d'exécution à l'appui de son interprétation large de la de- mande d'entraide sont convaincants et permettent d'établir sans difficulté le lien de connexité entre le compte en question et les investigations dans l'Etat requérant (v. supra consid. 4.2.1 et 4.2.2). Par ailleurs, et s'agissant de la période couverte par la documentation bancaire litigieuse, soit 2003 à 2011, elle englobe la période des faits sous enquête en Norvège (2004 à 2009; v. supra, let. A), et va dans le sens de la jurisprudence rappelée plus haut, selon laquelle l'Etat requérant a un intérêt à être informé de toutes les transactions sur une période relativement étendue (v. supra consid. 4.2.2). Quant à la problématique du tri des pièces, la Cour constate que le recou- rant n'a pas satisfait à son devoir de coopération, omettant d'indiquer avec précision à l’autorité quels documents ne devraient pas, selon lui, être transmis et pour quels motifs (v. supra consid. 4.1.3). Concernant, enfin, les considérations relatives à l'atteinte à la sphère privée du recourant, celles-ci s'apparentent à de l'argumentation à décharge, procédé irrece-</w:t>
      </w:r>
    </w:p>
    <w:p>
      <w:r>
        <w:t>- 18 -</w:t>
      </w:r>
    </w:p>
    <w:p>
      <w:r>
        <w:t>vable dans le cadre de la procédure d'entraide (v. arrêt du Tribunal fédéral 1C_562/2011 du 22 décembre 2011, consid. 1.5 in fine).</w:t>
      </w:r>
    </w:p>
    <w:p>
      <w:r>
        <w:rPr>
          <w:b/>
        </w:rPr>
        <w:t>E. 4.3</w:t>
      </w:r>
    </w:p>
    <w:p>
      <w:r>
        <w:t>Vu l’ensemble des éléments qui précèdent, le grief tiré d’une prétendue vio- lation du principe de la proportionnalité se révèle, lui aussi, mal fondé.</w:t>
      </w:r>
    </w:p>
    <w:p>
      <w:r>
        <w:t>5. Les considérants qui précèdent conduisent au rejet du recours.</w:t>
      </w:r>
    </w:p>
    <w:p>
      <w:r>
        <w:t>6. En règle générale, les frais de procédure comprenant l’émolument d’arrêté, les émoluments de chancellerie et les débours sont mis à la charge des parties qui succombent (art. 63 al. 1 de la loi fédérale du 20 décembre 1968 sur la procédure administrative [PA; RS 172.021], applicable par ren- 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les- quels sont fixés à CHF 5'000.-- (art. 73 al. 2 LOAP et art. 8 al. 3 du règle- ment du Tribunal pénal fédéral sur les frais, émoluments, dépens, et in- demnités de la procédure pénale fédérale du 31 août 2010 [RFPPF; RS 173.713.162] et art. 63 al. 5 PA), couverts par l’avance de frais de CHF 5'000.-- déjà versée.</w:t>
      </w:r>
    </w:p>
    <w:p>
      <w:r>
        <w:t>- 19 -</w:t>
      </w:r>
    </w:p>
    <w:p>
      <w:r>
        <w:rPr>
          <w:b/>
        </w:rPr>
        <w:t>E. 5</w:t>
      </w:r>
    </w:p>
    <w:p>
      <w:r>
        <w:t>Durant la séance de tri du 19 juin 2012 effectuée en présence de représen- tants de l'autorité de poursuite pénale norvégienne, l'autorité a insisté sur la pertinence de l'intégralité de la documentation.</w:t>
      </w:r>
    </w:p>
    <w:p>
      <w:r>
        <w:rPr>
          <w:b/>
        </w:rPr>
        <w:t>E. 6</w:t>
      </w:r>
    </w:p>
    <w:p>
      <w:r>
        <w:t>Il ressort des documents que la relation no 1 a été ouverte au nom de M. Ltd, le 20 mars 2003. A., né le (…), figure comme unique signataire autorisé. Le Formulaire A mentionne A., avec une adresse à Y., comme bénéficiaire éco- nomique. Le Formulaire a été modifié le 10 septembre 2007, l'identité du béné- ficiaire économique demeurant la même. Seule l'adresse a été changée à X. L'analyse des extraits de compte pour la période antérieure à 2006 révèle que le compte en USD est resté inactif entre le 1er octobre 2003 et le 20 décembre 2005, date à laquelle un versement de USD 500'000 a été effectué en prove- nance de la société Q., à W. (…). A. est considéré comme un PEP (…). Le do- cument intitulé Données complémentaires mentionne: Revenus générés par son activité professionnelle: il est intermédiaire auprès de différentes banques en Europe pour vendre des produits financiers structurés dans le pays V. et aux pays du Moyen/Proche Orient. Va percevoir des commissions (%) sur les mon- tants placés. Nous fournira des copies des contrats. Il est également intermé- diaire sur des contrats d'import/export entre le pays V. et des pays du pro- che/moyen orient essentiellement (…) Travaille p. exemple pour la société Q. à W. (…). Le compte n'est pas mouvementé jusqu'au 20 décembre 2005, date à laquelle il est crédité d'un montant de USD 500'000 provenant de la société Q., à W. (…). Très peu de transferts sont enregistrés jusqu'au paiement de USD 1,5 million du 30 mars 2007, provenant de la société J. AG (…). C'est en vain que l'on cherche dans la documentation bancaire le contrat justifiant ce transfert qui est intitulé: "J. AG (…) ATTN. OF N.". La relation est clôturée le 31 mars 2011 (…).</w:t>
      </w:r>
    </w:p>
    <w:p>
      <w:r>
        <w:rPr>
          <w:b/>
        </w:rPr>
        <w:t>E. 7</w:t>
      </w:r>
    </w:p>
    <w:p>
      <w:r>
        <w:t>Le MPC relève que la transaction provenant de la société J. AG, identifiée sur le compte de la banque L. au nom de M. Ltd est du plus grand intérêt, dès lors qu'elle est de nature à confirmer les soupçons figurant dans l'état de fait de la demande initiale du 5 septembre 2011. En matière de corruption, les tracta- tions entre les parties peuvent durer des mois, voire des années. Ainsi, contrai- rement à ce qu'allègue A., on ne saurait exclure la pertinence des documents bancaires antérieurs au versement du 27 mars 2006. En outre l'envoi de l'inté- gralité des pièces est également pertinent pour l'autorité norvégienne afin de lui permettre d'établir l'utilisation faite de ce montant et de découvrir d'éventuels</w:t>
      </w:r>
    </w:p>
    <w:p>
      <w:r>
        <w:t>- 12 -</w:t>
      </w:r>
    </w:p>
    <w:p>
      <w:r>
        <w:t>soupçons supplémentaires. Le devoir d'exhaustivité auquel est tenu l'autorité d'exécution suisse postule donc l'envoi de l'intégralité de la documentation de la relation 1, dont M. Ltd a été titulaire (…)." (act. 1.10, p. 5).</w:t>
      </w:r>
    </w:p>
    <w:p>
      <w:r>
        <w:t>2.3 Il appert de ce qui précède que la décision attaquée traite de la question de la double incrimination (ch. II/4), du lien de connexité entre les informations à transmettre et l'enquête norvégienne (ch. II/5, III/6 et III/7), ainsi que de la proportionnalité de la mesure (II/5, III/4, III/5, III//). Les éléments livrés par l'autorité d'exécution à l'appui de sa décision permettent de suivre le che- minement conduisant à cette dernière. Il n'y a là aucune violation du droit d'être entendu du recourant, lequel, assisté d'un mandataire professionnel ne prétend d'ailleurs – à raison – pas avoir été empêché d'apprécier correc- tement la portée de la décision et de l'attaquer à bon escient. C'est le lieu de rappeler que le droit fondamental d'être entendu ne permet pas à son ti- tulaire d'exiger de l'autorité qu'elle statue séparément sur chacun des ar- guments qui lui sont présentés, mais se limite à pouvoir obtenir de cette au- torité qu'elle procède à l'examen des questions décisives pour l'issue du li- tige (v. supra consid. 2.1).</w:t>
      </w:r>
    </w:p>
    <w:p>
      <w:r>
        <w:t>Mal fondé, le grief tiré de la violation du droit d’être entendu doit être rejeté.</w:t>
      </w:r>
    </w:p>
    <w:p>
      <w:r>
        <w:t>3. Le deuxième grief soulevé a trait à la condition de la double incrimination, laquelle ne serait pas réalisée (act. 1, p. 17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