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RR.2012.250 vom 10. Januar 2013</w:t>
      </w:r>
    </w:p>
    <w:p>
      <w:r>
        <w:t>Bundesstrafgericht, 2013-01-10, DE</w:t>
      </w:r>
    </w:p>
    <w:p>
      <w:r>
        <w:rPr>
          <w:b/>
        </w:rPr>
        <w:t xml:space="preserve">Quelle: </w:t>
      </w:r>
      <w:r>
        <w:t>https://mcp.opencaselaw.ch/entscheid/bstger_RR.2012.250</w:t>
      </w:r>
    </w:p>
    <w:p>
      <w:r>
        <w:t>FR: TPF RR.2012.250 du 10 janvier 2013</w:t>
      </w:r>
    </w:p>
    <w:p>
      <w:r>
        <w:t>IT: TPF RR.2012.250 del 10 gennaio 2013</w:t>
      </w:r>
    </w:p>
    <w:p>
      <w:pPr>
        <w:pStyle w:val="Heading2"/>
      </w:pPr>
      <w:r>
        <w:t>Regeste</w:t>
      </w:r>
    </w:p>
    <w:p>
      <w:r>
        <w:t>Beschlagnahme von Vermögenswerten (Art. 63 Abs. 3 lit. b IRSG). Eintretens- und Zwischenverfügung. Beizug von Akten. Kostenvorschuss.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Oktober 2012 eintrat und unter anderem eine Grundbuchsperre anord- nete (act. 2, Ziffer 4 und 5 des Dispositivs);</w:t>
      </w:r>
    </w:p>
    <w:p>
      <w:r>
        <w:t>- hiergegen A. mit Schreiben vom 25. Oktober 2012 Beschwerde erhob, wo- bei er zusammenfassend beantragt, (1) dass die Unterlagen nicht beigezo- gen und herausgegeben werden sollen und (2) dass die Grundbuchsperre nicht errichtet werden solle, unter Abweisung des diesbezüglich rechtshil- feweise gestellten Antrages (act. 1);</w:t>
      </w:r>
    </w:p>
    <w:p>
      <w:r>
        <w:t>- am 7. November 2012 die Vorinstanz um Einreichung der Verfahrensakten ersucht wurde (act. 5), wozu der Beschwerdeführer mit Eingabe vom 14. November 2012 unaufgefordert eine eigene Stellungnahme einreichte (act. 7, 7.1);</w:t>
      </w:r>
    </w:p>
    <w:p>
      <w:r>
        <w:t>- innert mit Schreiben vom 26. Oktober 2012 angesetzter Frist zur Leistung des Kostenvorschusses von Fr. 6'000.-- (act. 4) der Beschwerdeführer um unentgeltliche Rechtspflege ersuchte sowie um Bestellung eines unentgelt- lichen Rechtsbeistandes (RP.2012.72 act.1);</w:t>
      </w:r>
    </w:p>
    <w:p>
      <w:r>
        <w:t>- das Gesuch um unentgeltliche Rechtspflege mit Zwischenentscheid vom</w:t>
      </w:r>
    </w:p>
    <w:p>
      <w:r>
        <w:rPr>
          <w:b/>
        </w:rPr>
        <w:t>E. 19</w:t>
      </w:r>
    </w:p>
    <w:p>
      <w:r>
        <w:t>Dezember 2012 abgewiesen wurde und Fristen angesetzt wurden, nämlich bis zum 31. Dezember 2012 zur Leistung des Kostenvorschusses von Fr. 6'000.-- und bis zum 9. Januar 2013 zur Ergänzung der Beschwer- debegründung, wobei bei Versäumen einer dieser Fristen auf die Be- schwerde nicht eingetreten werde (act. 8);</w:t>
      </w:r>
    </w:p>
    <w:p>
      <w:r>
        <w:t>- die Frist zur Bezahlung des Kostenvorschusses gewahrt ist, wenn der Be- trag rechtzeitig zu Gunsten der Behörde der schweizerischen Post überge-</w:t>
      </w:r>
    </w:p>
    <w:p>
      <w:r>
        <w:t>- 3 -</w:t>
      </w:r>
    </w:p>
    <w:p>
      <w:r>
        <w:t>ben oder einem Post- oder Bankkonto in der Schweiz belastet worden ist (Art. 21 Abs. 3 VwVG i.V.m. Art. 39 Abs. 2 lit. b StBOG [SR 173.71]);</w:t>
      </w:r>
    </w:p>
    <w:p>
      <w:r>
        <w:t>- bis zum heutigen Tag kein Kostenvorschuss eingegangen ist;</w:t>
      </w:r>
    </w:p>
    <w:p>
      <w:r>
        <w:t>- der Beschwerdeführer den verlangte Kostenvorschuss damit nicht innert der angesetzten Frist bezahlt hat, weshalb androhungsgemäss auf die Be- schwerde nicht einzutreten ist (Art. 63 Abs. 4 VwVG i.V.m. Art. 39 Abs. 2 lit. b StBOG);</w:t>
      </w:r>
    </w:p>
    <w:p>
      <w:r>
        <w:t>- der Beschwerdeführer bei diesem Ausgang des Verfahrens kostenpflichtig wird (Art. 39 Abs. 2 lit. b StBOG i.V.m. Art. 63 Abs. 1 VwVG); für die Be- rechnung der Gerichtsgebühren das Reglement vom 31. August 2010 des Bundesstrafgerichts über die Kosten, Gebühren und Entschädigungen in Bundesstrafverfahren (BStKR; SR 173.713.162) zur Anwendung gelangt (Art. 63 Abs. 5 VwVG i.V.m. Art. 53 Abs. 2 lit. a StBOG); die Gerichtsge- bühr vorliegend auf Fr. 300.-- anzusetzen ist.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