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RR.2012.245 vom 22. Februar 2013</w:t>
      </w:r>
    </w:p>
    <w:p>
      <w:r>
        <w:t>Bundesstrafgericht, 2013-02-22, FR</w:t>
      </w:r>
    </w:p>
    <w:p>
      <w:r>
        <w:rPr>
          <w:b/>
        </w:rPr>
        <w:t xml:space="preserve">Quelle: </w:t>
      </w:r>
      <w:r>
        <w:t>https://mcp.opencaselaw.ch/entscheid/bstger_RR.2012.245</w:t>
      </w:r>
    </w:p>
    <w:p>
      <w:r>
        <w:t>FR: TPF RR.2012.245 du 22 février 2013</w:t>
      </w:r>
    </w:p>
    <w:p>
      <w:r>
        <w:t>IT: TPF RR.2012.245 del 22 febbraio 2013</w:t>
      </w:r>
    </w:p>
    <w:p>
      <w:pPr>
        <w:pStyle w:val="Heading2"/>
      </w:pPr>
      <w:r>
        <w:t>Regeste</w:t>
      </w:r>
    </w:p>
    <w:p>
      <w:r>
        <w:t>Entraide judiciaire internationale en matière pénale à la France. Remise de moyens de preuve (art. 74 EIMP). Saisies conservatoires (art. 33a OEIMP).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février 1997 pour la France. Les dispositions de ces traités l’emportent sur le droit autonome qui régit la matière, soit la loi fédérale sur l’entraide internationale en matière pénale</w:t>
      </w:r>
    </w:p>
    <w:p>
      <w:r>
        <w:t>- 4 -</w:t>
      </w:r>
    </w:p>
    <w:p>
      <w:r>
        <w:t>(EIMP; RS 351.1) et son ordonnance d’exécution (OEIMP; RS 351.11). Le droit interne reste toutefois applicable aux questions non réglées, explicitement ou implicitement, par le traité et lorsqu’il est plus favorable à l’entraide (ATF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19 octobre 2012, le recours contre la décision de clôture notifiée au plus tôt le 20 septembre 2012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leur qualité de titulaires des comptes n° 2, respectivement n° 3 auprès de la banque C. concernés par la décision de clôture, A. d’une part, et B. d’autre part, ont la qualité pour recourir contre le séquestre de fonds et la transmission de la documentation bancaire relative à ces comptes.</w:t>
      </w:r>
    </w:p>
    <w:p>
      <w:r>
        <w:rPr>
          <w:b/>
        </w:rPr>
        <w:t>E. 1.5</w:t>
      </w:r>
    </w:p>
    <w:p>
      <w:r>
        <w:t>Le recours est recevable, il y a lieu d’entrer en matière.</w:t>
      </w:r>
    </w:p>
    <w:p>
      <w:r>
        <w:rPr>
          <w:b/>
        </w:rPr>
        <w:t>E. 2</w:t>
      </w:r>
    </w:p>
    <w:p>
      <w:r>
        <w:t>Dans un premier grief, les recourants invoquent une violation des art. 14 CEEJ et 28 al. 3 let. a EIMP. En effet, l’exposé des faits de la commission rogatoire serait lacunaire et ne permettrait pas de vérifier si les faits sont constitutifs d’infractions en droit suisse, en application du principe de la double incrimination.</w:t>
      </w:r>
    </w:p>
    <w:p>
      <w:r>
        <w:t>- 5 -</w:t>
      </w:r>
    </w:p>
    <w:p>
      <w:r>
        <w:rPr>
          <w:b/>
        </w:rPr>
        <w:t>E. 2.1</w:t>
      </w:r>
    </w:p>
    <w:p>
      <w:r>
        <w:t>Selon l’art. 14 CEEJ, la demande d’entraide doit notamment indiquer son objet et son but (ch. 1 let. b), ainsi que l’inculpation et un exposé sommaire des faits (ch. 2). D’après la jurisprudence du Tribunal fédéral, on ne saurait toutefois exiger de l’Etat requérant un exposé complet et exempt de toute lacune, car la procédure d’entraide a précisément pour but d’apporter aux autorités de l’Etat requérant des renseignements au sujet des points demeurés obscurs (ATF 117 Ib 64 consid. 5c et les arrêts cités). Ces indications doivent permettre à l’autorité requise de s’assurer que l’acte pour lequel l’entraide est demandée est punissable selon le droit des Parties requérante et requise (art. 5 ch. 1 let. a CEEJ), qu’il ne constitue pas un délit politique ou fiscal (art. 2 al. 1 let. a CEEJ), que l’exécution de la demande n’est pas de nature à porter atteinte à la souveraineté, à la sécurité, à l’ordre public ou à d’autres intérêts essentiels du pays (art. 2 let. b CEEJ), et que le principe de la proportionnalité est respecté (arrêt du Tribunal pénal fédéral RR.2011.225, consid. 3; arrêt du Tribunal pénal fédéral RR.2008.254 du 16 février 2009, consid. 3.2 et la jurisprudence citée). L’art. 27 CBl et le droit interne (art. 28 EIMP) posent des exigences équivalentes, que l’OEIMP précise en exigeant l’indication du lieu, de la date et du mode de commission des infractions (art. 10 OEIMP). La remise de documents bancaires et le séquestre de valeurs sont des mesures de contrainte au sens de l’art. 63 al. 2 let. c EIMP, qui ne peuvent être ordonnées,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Par ailleurs, il n'est pas nécessaire, dans l'entraide régie par la CEEJ, que la condition de la double incrimination soit réalisée pour chacun des chefs à raison desquels le prévenu est poursuivi dans l'Etat requérant (ATF 125 II 569 consid. 6; arrêt du Tribunal fédéral 1C_138/2007 du 17 juillet 2007, consid. 2.3.2).</w:t>
      </w:r>
    </w:p>
    <w:p>
      <w:r>
        <w:t>- 6 -</w:t>
      </w:r>
    </w:p>
    <w:p>
      <w:r>
        <w:t>Lorsque l’autorité étrangère adresse une requête d’entraide aux fins d’appuyer une enquête menée du chef de blanchiment d’argent, elle ne doit pas nécessairement apporter la preuve de la commission des actes de blanchiment ou de l’infraction préalable; de simples éléments concrets de soupçon sont suffisants sous l’angle de la double punissabilité (arrêts du Tribunal pénal fédéral RR.2011.238 du 29 novembre 2011, consid. 2.1; RR.2008.8 du 23 juillet 2008, consid. 2.2.2 et les références citées; v. ég. ZIMMERMANN, La coopération judiciaire internationale en matière pénale, 3ème éd., Berne 2009, n° 601).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motif de soupçon de blanchiment. Cette interprétation correspond à la notion d’entraide "la plus large possible" dont il est question aux art. 1 CEEJ, 7 ch. 1 et 8 CBl (v. ATF 129 II 97 consid. 3.2).</w:t>
      </w:r>
    </w:p>
    <w:p>
      <w:r>
        <w:rPr>
          <w:b/>
        </w:rPr>
        <w:t>E. 2.2</w:t>
      </w:r>
    </w:p>
    <w:p>
      <w:r>
        <w:t>En l’espèce, il ressort de la commission rogatoire que, entre mai et septembre 2011, quelques 33 sociétés françaises ont été ciblées par des escrocs agissant par courrier électronique et téléphone, pour faire transférer des fonds sur la base de fausses factures (préjudice subi supérieur à EUR 2'000'000.--). Cette mise en scène a été opérée depuis Israël (localisation de l’origine des faux courriers électroniques, des appels téléphoniques et numéros de télécopie indiqués sur les fausses factures). L’enquête française a permis d’établir que les fonds issus de l’escroquerie ont cheminé notamment via des comptes et sociétés contrôlés par A. Bien que sommaire, l’état de fait ainsi décrit suffit pour établir que l’enquête menée par les autorités française porte sur le transfert de sommes d'argent importantes à travers plusieurs comptes détenus ou contrôlés par A. dans plusieurs pays, dont la Suisse, et que lesdites sommes seraient le produit d'infractions pénales. Alors que, transposé en droit suisse, cet exposé des faits est suffisant pour permettre aux autorités de poursuite dudit pays d'ouvrir une enquête du chef de blanchiment d'argent (art. 305bis CP), notamment eu égard au contexte international desdits transferts, il l'est d'autant plus que les sommes transférées proviendraient d'un crime. En effet, à teneur de la jurisprudence, l’envoi de factures pour une prestation inexistante est constitutif d’astuce au sens de l’art. 146 CP (arrêt du Tribunal fédéral 1A.61/2007 du 5 octobre 2007, consid. 2.2 et ATF 120 IV 14).</w:t>
      </w:r>
    </w:p>
    <w:p>
      <w:r>
        <w:t>- 7 -</w:t>
      </w:r>
    </w:p>
    <w:p>
      <w:r>
        <w:rPr>
          <w:b/>
        </w:rPr>
        <w:t>E. 2.3</w:t>
      </w:r>
    </w:p>
    <w:p>
      <w:r>
        <w:t>Au vu de ce qui précède, la Cour considère que l’état de fait tel qu’exposé dans la commission rogatoire satisfait à l’exigence de motivation au sens des art. 14 CEEJ et 28 al. 3 let. a EIMP. Le grief tiré d’un contenu insuffisant de la demande d’entraide s’avère ainsi mal fondé.</w:t>
      </w:r>
    </w:p>
    <w:p>
      <w:r>
        <w:rPr>
          <w:b/>
        </w:rPr>
        <w:t>E. 3</w:t>
      </w:r>
    </w:p>
    <w:p>
      <w:r>
        <w:t>Dans un second grief, les recourants se prévalent d’une violation du principe de la proportionnalité.</w:t>
      </w:r>
    </w:p>
    <w:p>
      <w:r>
        <w:rPr>
          <w:b/>
        </w:rPr>
        <w:t>E. 3.1</w:t>
      </w:r>
    </w:p>
    <w:p>
      <w:r>
        <w:t>En vertu de ce principe,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w:t>
      </w:r>
    </w:p>
    <w:p>
      <w:r>
        <w:t>- 8 -</w:t>
      </w:r>
    </w:p>
    <w:p>
      <w:r>
        <w:t>la demande vise, comme en l’espèce, à éclaircir le cheminement de fonds d'origine délictueuse, il convient d'informer l'Etat requérant de toutes les transactions opérées au nom des sociétés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mis en place par les personnes sous enquête en France.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w:t>
      </w:r>
    </w:p>
    <w:p>
      <w:r>
        <w:t>- 9 -</w:t>
      </w:r>
    </w:p>
    <w:p>
      <w:r>
        <w:rPr>
          <w:b/>
        </w:rPr>
        <w:t>E. 3.2</w:t>
      </w:r>
    </w:p>
    <w:p>
      <w:r>
        <w:t>En l’espèce, la commission rogatoire française porte explicitement sur la transmission de la documentation bancaire relative aux comptes ouverts sous les noms de A. et B. à la banque C. Tel est le cas des comptes n° 2 au nom de A. et n° 3 au nom de B. concernés par la décision de clôture. L’analyse de ladite documentation a permis d’établir que ces comptes ont été, à plusieurs reprises entre avril et juin 2012, débités au profit de comptes bancaires ouverts au nom de A., respectivement de B., en Israël (dossier MP-GE 30062-30066 et 30122-30129). D’après les recourants, un examen même sommaire des relevés de comptes saisis permettrait de constater que les fonds issus de cette escroquerie n’ont pas cheminé via des comptes et sociétés contrôlées par A., et que, par voie de conséquence, des "fonds d’origine "chronologiquement " licite sont saisis manifestement à tort". Quand bien même tel serait le cas, il n’en demeure pas moins que l’autorité requérante doit être en mesure de procéder elle-même à cet examen. En effet, la question de l’origine, licite ou non, des montants ayant transité par les comptes contrôlés par A. relève de la procédure au fond et n’a pas à être analysée dans le cadre de la procédure d’entraide.</w:t>
      </w:r>
    </w:p>
    <w:p>
      <w:r>
        <w:rPr>
          <w:b/>
        </w:rPr>
        <w:t>E. 3.3</w:t>
      </w:r>
    </w:p>
    <w:p>
      <w:r>
        <w:t>La transmission de l’intégralité de la documentation concernant les comptes de A. et B. se justifie. Le grief tiré de la violation du principe de la proportionnalité doit, partant, être rejeté.</w:t>
      </w:r>
    </w:p>
    <w:p>
      <w:r>
        <w:rPr>
          <w:b/>
        </w:rPr>
        <w:t>E. 4</w:t>
      </w:r>
    </w:p>
    <w:p>
      <w:r>
        <w:t>Dans leurs conclusions, les recourants demandent la levée des séquestres frappant les comptes n° 2 et n° 3 ouverts auprès de la banque C.</w:t>
      </w:r>
    </w:p>
    <w:p>
      <w:r>
        <w:rPr>
          <w:b/>
        </w:rPr>
        <w:t>E. 4.1</w:t>
      </w:r>
    </w:p>
    <w:p>
      <w:r>
        <w:t>A teneur de l’art. 74a al. 2 EIMP, sont susceptibles d’être saisis à titre conservatoire en vue de confiscation ou de restitution à l’ayant droit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Par ailleurs, la saisie de valeurs patrimoniales au titre de créance compensatrice est admissible s’il apparaît possible que les valeurs séquestrées pourront être remises à l’Etat requérant, conformément à l’art. 94 EIMP, en exécution d’un jugement définitif et exécutoire rendu dans cet Etat portant condamnation au paiement d’une créance compensatrice (ATF 120 Ib 167 consid. 3.c.aa; arrêt du Tribunal pénal fédéral RR.2009.168 du 21 octobre 2009, consid. 4.3 et les arrêts cités).</w:t>
      </w:r>
    </w:p>
    <w:p>
      <w:r>
        <w:t>- 10 -</w:t>
      </w:r>
    </w:p>
    <w:p>
      <w:r>
        <w:rPr>
          <w:b/>
        </w:rPr>
        <w:t>E. 4.2</w:t>
      </w:r>
    </w:p>
    <w:p>
      <w:r>
        <w:t>Selon l’art. 33a OEIMP, les objets et valeurs dont la remise à l’Etat requérant est subordonnée à une décision définitive et exécutoire de ce dernier demeurent saisis jusqu’à réception de ladite décision ou jusqu’à ce que l’Etat requérant ait fait savoir à l’autorité d’exécution compétente qu’une telle décision ne pouvait plus être rendue selon son propre droit, notamment en raison de la prescription. L’art. 11 al. 1 CBl prévoit pour sa part expressément l’obligation d’ordonner des mesures provisoires telles que le gel ou la saisie d’avoirs en pareille hypothèse.</w:t>
      </w:r>
    </w:p>
    <w:p>
      <w:r>
        <w:rPr>
          <w:b/>
        </w:rPr>
        <w:t>E. 4.3</w:t>
      </w:r>
    </w:p>
    <w:p>
      <w:r>
        <w:t>En l'espèce, dans la mesure où les fonds saisis pourraient représenter en tout ou en partie l’instrument ou le produit d’infractions pénales pour lesquelles l’entraide doit être accordée, ils sont également susceptibles de faire l’objet d’une décision de confiscation ou de restitution à l’ayant droit dans l’Etat requérant. Les séquestres ordonnés en date du 8 juin 2012 doivent par conséquent être maintenus jusqu’au terme de la procédure pénale française, par exemple jusqu’au moment où l’Etat requérant présentera une demande de remise des avoirs saisis, en vue de restitution ou de confiscation.</w:t>
      </w:r>
    </w:p>
    <w:p>
      <w:r>
        <w:rPr>
          <w:b/>
        </w:rPr>
        <w:t>E. 5</w:t>
      </w:r>
    </w:p>
    <w:p>
      <w:r>
        <w:t>Au vu de ce qui précède, le recours doit être rejeté.</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ainsi les frais du présent arrêt, lesquels se limitent à un émolument fixé à CHF 6'000.-- (art. 73 al. 2 LOAP et art. 8 al. 3 du règlement du Tribunal pénal fédéral sur les frais, émoluments, dépens et indemnités de la procédure pénale fédérale du 31 août 2010 [RFPPF; RS 173.713.162] et art. 63 al. 5 PA), couvert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