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RR.2012.238 vom 14. März 2013</w:t>
      </w:r>
    </w:p>
    <w:p>
      <w:r>
        <w:t>Bundesstrafgericht, 2013-03-14, DE</w:t>
      </w:r>
    </w:p>
    <w:p>
      <w:r>
        <w:rPr>
          <w:b/>
        </w:rPr>
        <w:t xml:space="preserve">Quelle: </w:t>
      </w:r>
      <w:r>
        <w:t>https://mcp.opencaselaw.ch/entscheid/bstger_RR.2012.238</w:t>
      </w:r>
    </w:p>
    <w:p>
      <w:r>
        <w:t>FR: TPF RR.2012.238 du 14 mars 2013</w:t>
      </w:r>
    </w:p>
    <w:p>
      <w:r>
        <w:t>IT: TPF RR.2012.238 del 14 marzo 2013</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w:t>
      </w:r>
    </w:p>
    <w:p>
      <w:r>
        <w:t>Rechtshilfe in Strafsachen (IRSV; SR 351.11), zur Anwendung (vgl. Art. 1 Abs. 1 IRSG).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des Organisationsreglements für das Bundes- strafgericht vom 31. August 2010, SR 173.713.161). Die ausführende Be- hörde und die Rechtsmittelinstanz stellen ihre Verfügungen dem in der Schweiz wohnhaften Berechtigten sowie dem im Ausland ansässigen Be- rechtigten mit Zustellungsdomizil in der Schweiz zu (Art. 80m Abs. 1 IRSG). Die Beschwerdefrist gemäss Art. 80k IRSG beginnt zu laufen, sobald der Betroffene von einer auf ihn bezugnehmenden Verfügung tatsächlich Kenntnis erhält, selbst wenn ihm gegenüber eine formelle Eröffnung nicht erfolgt ist. Dies ist grundsätzlich der Fall, wenn eine Rechtshilfeverfügung einer Bank zugestellt wird, die Bank ihren Kunden über den Erlass der Ver- fügung informiert und dieser Gelegenheit hat, sich ohne Verzug den Text der Verfügung bei der Bank zu besorgen (BGE 120 Ib 183 E. 3a S. 186 f. m.w.H.; ROBERT ZIMMERMANN, La coopération judiciaire internationale en matière pénale, 3. Aufl., Bern 2009, S. 492 N 537). Hat der von der Verfü- gung betroffene Kontoinhaber mit seiner Bank eine Vereinbarung über die banklagernde Korrespondenz abgeschlossen und den Rechtshilfebehörden keine Zustelladresse in der Schweiz notifiziert, gilt die Rechtshilfeverfügung im Zeitpunkt der Entgegennahme durch die Bank grundsätzlich als eröffnet (BGE 124 II 124 E. 2d/aa S. 128; Urteil des Bundesgerichts 1A.212/2003 vom 30. August 2004, E. 7.2). Eine Banklagernd-Vereinbarung ist demge- genüber nach Beendigung der Vertragsbeziehungen nicht mehr direkt an- wendbar. Hat die Bank dem ehemaligen Kunden den Erlass einer Verfü- gung auch nach Auflösung des Vertragsverhältnisses mitgeteilt, so beginnt die Beschwerdefrist erst im Zeitpunkt der effektiven Kenntnisnahme zu lau- fen (Urteil des Bundesgerichts 1A.221/2002 vom 25. November 2002, E. 2.4).</w:t>
      </w:r>
    </w:p>
    <w:p>
      <w:r>
        <w:rPr>
          <w:b/>
        </w:rPr>
        <w:t>E. 2.2</w:t>
      </w:r>
    </w:p>
    <w:p>
      <w:r>
        <w:t>Mangels Sitz oder der ersuchten Behörde bekannt gegebenes Zustelldomi- zil in der Schweiz wurde die Schlussverfügung den Beschwerdeführern</w:t>
      </w:r>
    </w:p>
    <w:p>
      <w:r>
        <w:t>durch Mitteilung an die (ehemals) kontoführende Bank eröffnet, nämlich an die Bank H. Die Bank H. nahm die Verfügung vom 4. Mai 2012 (Freitag) frühestens am 7. Mai 2012 (Montag) entgegen. Zu diesem Zeitpunkt waren die betreffenden Konten der Beschwerdeführerin 1 bereits saldiert (siehe RR.2012.140-143 act. 6.1), sodass sich die Frage, ob zwischen der Be- schwerdeführerin 1 und ihrer Bank eine Banklagernd-Vereinbarung be- stand, nicht mehr stellt. Damit ist auf den Zeitpunkt der effektiven Kenntnis- nahme der Schlussverfügung durch die Beschwerdeführerin abzustellen. Auch bei beendeter Bankbeziehung hat die ausführende Behörde ihre Ent- scheide an das betreffende Bankinstitut, das zur Herausgabe der Unterla- gen aufgefordert wird, zuzustellen (BGE 136 IV 16 E. 2.2). Es ist dabei letz- terem überlassen, ob es seinen ehemaligen Kunden über den Empfang der Verfügung unterrichtet oder nicht (vgl. Art. 80n IRSG).</w:t>
      </w:r>
    </w:p>
    <w:p>
      <w:r>
        <w:t>Die Beschwerdeführer machen geltend, erst am 1. Juni 2012 habe der ehemalige Kundenbetreuer der Beschwerdeführerin 1, I. durch die interne Geldwäschereistelle der Bank H. Kenntnis von der Schlussverfügung erhal- ten, worauf dieser noch gleichentags unter anderem die Beschwerdeführer 2-4 sowie den von ihnen beauftragten Anwalt J. informiert habe (act. 12 S. 3 f.). Die Beschwerdeführer reichen hierzu dem Gericht eine E-Mail von I. an J. ein, mit welcher jener letzterem unter anderem die Schlussverfü- gung vom 4. Mai 2012 zustellt (act. 12.1).</w:t>
      </w:r>
    </w:p>
    <w:p>
      <w:r>
        <w:t>Es ist vorliegend somit davon auszugehen, dass die Beschwerdeführer erst am 1. Juni 2012 Kenntnis von der Schlussverfügung vom 4. Mai 2012 er- halten haben, weshalb die Beschwerdefrist erst ab diesem Zeitpunkt zu laufen begonnen hat. Die Beschwerde vom 6. Juni 2012 sowie die Be- schwerdeergänzung vom 2. Juli 2012 (siehe supra F.) sind damit rechtzei- tig eingereicht worden.</w:t>
      </w:r>
    </w:p>
    <w:p>
      <w:r>
        <w:rPr>
          <w:b/>
        </w:rPr>
        <w:t>E. 3</w:t>
      </w:r>
    </w:p>
    <w:p>
      <w:r>
        <w:t>Oktober 2012 festgestellt haben, wurde die Beschwerdeführerin 1 am 30. März 2007 im Liechtensteinischen Öffentlichkeitsregister gelöscht, weshalb ihr die Beschwerdelegitimation mangels Parteifähigkeit abzuspre- chen und auf ihre Beschwerde nicht einzutreten war (act. 1 S. 4; RR.2012.140-143 act. 14 S. 5). Dies hat auch für das vorliegende Verfah- ren zu gelten, weshalb auf die Beschwerde der Beschwerdeführerin 1 nicht einzutreten ist.</w:t>
      </w:r>
    </w:p>
    <w:p>
      <w:r>
        <w:rPr>
          <w:b/>
        </w:rPr>
        <w:t>E. 3.1</w:t>
      </w:r>
    </w:p>
    <w:p>
      <w:r>
        <w:t>Im Beschwerdeverfahren ist als Partei nur zuzulassen, wer partei- und pro- zessfähig und zudem im Sinne von Art. 80h IRSG zur Beschwerdeführung berechtigt ist. Die Partei- und Prozessfähigkeit bestimmt sich nach dem Zi- vilrecht. Wer rechtsfähig ist, gilt als parteifähig. Rechtsfähig sind die natürli- chen Personen sowie die juristischen Personen des Privatrechts und des öffentlichen Rechts (MARANTELLI-SONANINI/HUBER, in: WALDMANN/WEIS- SENBERGER [Hrsg.], Praxiskommentar zum Bundesgesetz über das Verwal- tungsverfahren, Zürich/Basel/Genf 2009, Art. 6 N 12 f.; KÖLZ/HÄNER, Ver- waltungsverfahren und Verwaltungsrechtspflege des Bundes, Zürich 1998, 2. Aufl., N 260).</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w:t>
      </w:r>
    </w:p>
    <w:p>
      <w:r>
        <w:t>Der wirtschaftlich Berechtigte und andere bloss indirekt Betroffene sind nach der Rechtsprechung grundsätzlich nicht zur Beschwerde legitimiert, dies selbst dann nicht, wenn sie in den erhobenen Kontounterlagen er- wähnt werden und dadurch etwa ihre Identität als wirtschaftlich Berechtigte eines Kontos offen gelegt wird (BGE 130 II 162 E. 1.1 S. 164; 123 II 153 E. 2b S. 157, je m.w.H.). Ausnahmsweise können der bloss wirtschaftlich an einem Konto oder an einer direkt betroffenen Gesellschaft Berechtigte selbständig beschwerdelegitimiert sein, etwa dann, wenn eine juristische Person, über deren Konto Auskunft verlangt wird, nicht mehr besteht (BGE 123 II 153 E. 2c-d S. 157 f.; Urteil des Bundesgerichts 1A.183/2005 vom 9. Dezember 2005, E. 2.1). Die Beweislast für die wirtschaftliche Be- rechtigung und die Liquidation der Gesellschaft obliegt dem Rechtsuchen- den (Urteil des Bundesgerichts 1A.10/2000 vom 18. Mai 2000, E. 1e). Der wirtschaftlich Berechtigte einer erloschenen Gesellschaft muss insbesonde- re beweisen, dass die Gesellschaft liquidiert wurde und er Begünstigter dieser Liquidation war (Urteile des Bundesgerichts 1C_183/2012 vom 12. April 2012, E. 1.5; 1C_161/2011 vom 11. April 2011, E. 1.3; 1A.284/2003 vom 11. Februar 2004, E. 1; 1A.216/2001 vom 21. März 2002 E. 1.3.2; 1A.84/1999 vom 31. Mai 1999, E. 2c; Entscheide des Bundes- strafgerichts RR.2009.151 vom 11. September 2009, E. 1.3.2; RR.2007.61 vom 25. Juli 2007, E. 2.2 m.w.H.). Die Auflösung der Gesellschaft und die Berufung auf die ersatzweise Legitimation eines wirtschaftlich Berechtigten darf zudem nicht bloss vorgeschoben oder rechtsmissbräuchlich erschei- nen (BGE 123 II 153 E. 2d S. 157 f.).</w:t>
      </w:r>
    </w:p>
    <w:p>
      <w:r>
        <w:t>Das Bundesgericht hat in seinem Urteil 1C_370/2012 vom 3. Oktober 2012 seine Rechtsprechung dahingehend klargestellt, dass der Beweis des Zu- flusses des Liquidationserlöses der aufgelösten Gesellschaft an den wirt- schaftlich Berechtigten nicht nur mit der Bescheinigung über die Auflösung erbracht werden könne. Vielmehr könne dieser Beweis auch mit anderen Mitteln geleistet werden. Wie der Beweis erbracht werde, könne keine Rolle spielen; entscheidend sei, dass er erbracht werde (E. 2.7). Diese Ausfüh- rungen ändern aber nichts daran, dass es entsprechend der vorzitierten Bundesgerichtspraxis nicht hauptsächlich um die Frage geht, wohin ein Li- quidationserlös fliesst, sondern um die Frage, wer die Rechtsstellung als</w:t>
      </w:r>
    </w:p>
    <w:p>
      <w:r>
        <w:t>Begünstigter der betreffenden Liquidation inne hat. Zwar dürfte der Liquida- tionserlös in aller Regel an den Begünstigten selbst fliessen. Wie jeder Geldgläubiger kann der Begünstigte indessen auch die Anweisung geben, dass die gegenüber ihm bestehende Schuld durch Zahlung an einen Drit- ten beglichen werden soll. In diesem Fall fallen Begünstigter und Empfän- ger des Liquidationserlöses auseinander.</w:t>
      </w:r>
    </w:p>
    <w:p>
      <w:r>
        <w:rPr>
          <w:b/>
        </w:rPr>
        <w:t>E. 3.2</w:t>
      </w:r>
    </w:p>
    <w:p>
      <w:r>
        <w:t>Die angefochtene Verfügung bezieht sich auf die Herausgabe von Bankun- terlagen betreffend das Konto der Beschwerdeführerin 1 bei der Bank G. AG (heute Bank H.). Wie die Beschwerdekammer bereits in ihrem Ent- scheid vom 25. Juli 2012 und das Bundesgericht in seinem Urteil vom</w:t>
      </w:r>
    </w:p>
    <w:p>
      <w:r>
        <w:rPr>
          <w:b/>
        </w:rPr>
        <w:t>E. 3.3</w:t>
      </w:r>
    </w:p>
    <w:p>
      <w:r>
        <w:t>Wie bereits im Entscheid der Beschwerdekammer vom 25. Juli 2012 aus- geführt, galten gemäss Formular A der Bank F. Ltd. vom 23. Dezem- ber 2003 die Beschwerdeführer 2, 3 und 4 als wirtschaftlich Berechtigte am Bankkonto der Beschwerdeführerin (RR.2012.140-143 act. 7.1 = Verfah- rensakten pag. 0008). Einem bei den Akten liegenden Schreiben der Be- schwerdeführerin 1 vom 14. Februar 2007 an die Bank G. AG ist zu ent- nehmen, dass nach Saldierung der Kontos der Beschwerdeführerin 1 die betreffenden Vermögenswerte auf ein Konto (Konto-Nr. 2) bei der Bank G. AG, lautend auf K. Holding Corp. zu überwiesen sei (Verfahrensakten pag. 0001). In diesem Zusammenhang machen die Beschwerdeführer 2 –</w:t>
      </w:r>
    </w:p>
    <w:p>
      <w:r>
        <w:rPr>
          <w:b/>
        </w:rPr>
        <w:t>E. 4</w:t>
      </w:r>
    </w:p>
    <w:p>
      <w:r>
        <w:t>geltend, sie seien die einzigen Aktionäre der Beschwerdeführerin 1 ge- wesen, und für die Liquidation hätten die Beschwerdeführer 3 und 4 den Beschwerdeführer 2 beauftragt, an ihrer Stelle den Erlös aus der Liquidati- on der Beschwerdeführerin 1 entgegen zu nehmen. Der Beschwerdefüh- rer 2 habe in dieser Hinsicht die Instruktion erteilt, den Liquidationserlös auf das Konto der K. Holding Corp., deren wirtschaftlich Berechtigter er damals war, zu überweisen (RR.2012.140-143 act. 12 S. 9 und 11). Sie weisen hierzu auf entsprechende schriftliche Erklärungen der Beschwerdeführer 2, 3 und 4 vom 2. Juli und 7. August 2012 (RR.2012.140-143 act. 12. 4 und 12. 5; act. 2.1). Will man den im Hinblick auf das vorliegende Beschwerde- verfahren abgefassten schriftlichen Erklärungen Beweiskraft zusprechen, führt dies zur Bejahung der Rechtsstellung der Beschwerdeführer 2 – 4 als Begünstigte der Liquidation und damit zur Bejahung ihrer Beschwerdelegi- timation. Daran ändert nichts, dass der Liquidationserlös auf ein Konto der</w:t>
      </w:r>
    </w:p>
    <w:p>
      <w:r>
        <w:t>K. Holding Corp. überwiesen worden ist. Wie bereits erläutert, ist massgeb- lich, wer die Begünstigten der Liquidation der Beschwerdeführerin 1 sind und nicht, wohin der Erlös geflossen ist. Wie es sich aber im Einzelnen mit der Beweiskraft dieser von den Parteien abgefassten schriftlichen Erklä- rungen verhält, kann offen gelassen werden, da sich die Beschwerde – wie noch zu zeigen sein wird – materiell ohnehin als unbegründet erweist. Oh- ne weiteres zu bejahen ist hingegen die Beschwerdelegitimation der Be- schwerdeführer 2 und 4 hinsichtlich der Herausgabe von Kontoinformatio- nen betreffend ihre persönlichen Konten (Verfahrensakten pag. 00173 und pag. 00169).</w:t>
      </w:r>
    </w:p>
    <w:p>
      <w:r>
        <w:rPr>
          <w:b/>
        </w:rPr>
        <w:t>E. 4.1</w:t>
      </w:r>
    </w:p>
    <w:p>
      <w:r>
        <w:t>Die Beschwerdeführer machen replicando geltend, ihnen seien von der Be- schwerdegegnerin teilweise Akten vorenthalten worden. Insbesondere müsse aus den Ausführungen der Beschwerdegegnerin in der Beschwer- deantwort geschlossen werden, dass es einen Informationsaustausch zwi- schen ihr und der Bank G. AG/Bank H. gegeben habe. Die Beschwerdefüh- rer hätten bereits mit Schreiben vom 1. November 2012 um volle, uneinge- schränkte Akteneinsicht, inklusive Korrespondenz, Aktennotizen Verfügun- gen etc. gebeten. Die Behauptung der Beschwerdegegnerin, dass sich sämtliche Unterlagen, welche das Verfahren der Beschwerdeführerin beträ- fen, beim Bundesstrafgericht befänden, scheine nicht den Tatsachen zu entsprechen. Die Beschwerdegegnerin sei daher erneut aufzufordern, sämtliche das Verfahren RH.12.0004-WEL betreffenden Akten herauszu- geben und sämtliche in diesem Zusammenhang erhaltenen Informationen offenzulegen sowie ihre Behauptung betreffend der Aktenstücke MPC- 00135-209 zu erläutern (act. 21 S. 8 f.).</w:t>
      </w:r>
    </w:p>
    <w:p>
      <w:r>
        <w:rPr>
          <w:b/>
        </w:rPr>
        <w:t>E. 4.2</w:t>
      </w:r>
    </w:p>
    <w:p>
      <w:r>
        <w:t>Aus dem Anspruch auf rechtliches Gehör nach Art. 29 Abs. 2 BV fliesst un- ter anderem das Akteneinsichtsrecht (Art. 80b IRSG sowie durch Verweis in Art. 12 Abs. 1 IRSG auf Art. 26 und 27 VwVG; Urteil des Bundesgerichts 1A.57/2007 vom 14. September 2007, E. 2.1).</w:t>
      </w:r>
    </w:p>
    <w:p>
      <w:r>
        <w:t>Gemäss Art. 80b Abs. 1 IRSG können die Berechtigten Einsicht in die Ak- ten nehmen, soweit dies für die Wahrung ihrer Interessen notwendig ist. Einschränkungen des Akteneinsichtsrechts sind möglich nach Art. 80b Abs. 2 und 3 IRSG sowie in den in Art. 27 VwVG erwähnten Fällen. Be- rechtigt im Sinne von Art. 80b Abs. 1 IRSG ist, wer Parteistellung hat, mit- hin, wer im Sinne von Art. 80h lit. b IRSG beschwerdeberechtigt ist. Akten- einsicht ist zu gewähren, soweit diese notwendig ist, um die Interessen des Berechtigten zu wahren, d.h. allein jene Akten sind offen zu legen, welche ihn direkt und persönlich betreffen. Das Akteneinsichtsrecht umfasst alle</w:t>
      </w:r>
    </w:p>
    <w:p>
      <w:r>
        <w:t>Unterlagen, welche für den Entscheid relevant sein können (PETER POPP, Grundzüge der internationalen Rechtshilfe in Strafsachen, Basel 2001, S. 315 N. 463; TPF 2008 91 E. 3.2; Entscheid des Bundesstrafgerichts RR.2008.165 vom 28. Oktober 2008, E. 3.2).</w:t>
      </w:r>
    </w:p>
    <w:p>
      <w:r>
        <w:rPr>
          <w:b/>
        </w:rPr>
        <w:t>E. 4.3</w:t>
      </w:r>
    </w:p>
    <w:p>
      <w:r>
        <w:t>Wie die Beschwerdeführer selber ausführen, wurden ihnen vom Bundes- strafgericht sämtliche dem Gericht vorliegenden Verfahrensakten am 23. Oktober und 21. November 2012 zugestellt (siehe supra lit. I). Die Be- schwerdeführer machen nicht geltend, ihnen seien Unterlagen, auf welche sich die Beschwerdegegnerin in der Schlussverfügung bezieht, nicht zur Kenntnis gebracht worden. In der Schlussverfügung wird denn auch an keiner Stelle auf Akten Bezug genommen, die den Beschwerdeführern nicht bekannt waren. Bei den Akten, welche den Beschwerdeführern nicht bekannt sein sollen, soll es sich um den Begleitbrief der damaligen Bank G. AG zur Übermittlung der Bankakten, weiterer Korrespondenz zwi- schen der Beschwerdegegnerin, dem BJ und der Bank G. AG/Bank H. und/oder S., Notizen und Einträge über geführte Telefonate und Zusam- mensetzung der gemäss Schlussverfügung ins Ausland zu übermittelnden Akten handeln (act. 21 S. 9), mithin um Akten, die die Beschwerdeführer nicht persönlich betreffen. Da den Beschwerdeführern somit alle für das Verfahren wesentlichen Akten zur Kenntnis gebracht wurden, können sie sich nicht auf eine Verletzung des rechtlichen Gehörs berufen. Die Rüge der mangelnden Akteneinsicht geht daher fehl. Aus diesem Grund sind denn auch die in diesem Zusammenhang gestellten Verfahrensanträge (siehe supra lit. J) ohne weiteres abzuweisen.</w:t>
      </w:r>
    </w:p>
    <w:p>
      <w:r>
        <w:rPr>
          <w:b/>
        </w:rPr>
        <w:t>E. 5.1</w:t>
      </w:r>
    </w:p>
    <w:p>
      <w:r>
        <w:t>Die Beschwerdeführer machen sodann geltend, die Eintretensverfügung vom 13. Februar 2012 sowie die Schlussverfügung vom 4. Mai 2012 seien nichtig. Die Anordnung der Auskunft über das Bankkonto der Beschwerde- führerin 1 auf dem Rechtshilfeweg sei vom Landesgericht für Strafsachen in Wien am 28. Dezember 2011 bewilligt worden, unter ausdrücklicher Be- fristung der Durchführung der beantragten Massnahme bis am 1. Feb- ruar 2012. Die Eintretensverfügung sei jedoch am 13. Februar 2012 erlas- sen worden, mithin erst nachdem die Bewilligung für deren Durchführung bereits ausser Kraft getreten gewesen sei und diese somit nicht mehr hätte vollzogen werden dürfen (act. 12 S. 10 ff.; act. 21 S. 7 f.).</w:t>
      </w:r>
    </w:p>
    <w:p>
      <w:r>
        <w:rPr>
          <w:b/>
        </w:rPr>
        <w:t>E. 5.2</w:t>
      </w:r>
    </w:p>
    <w:p>
      <w:r>
        <w:t>Vorab ist festzuhalten, dass die Anordnung der Staatsanwaltschaft Wien vom 27. Dezember 2011 bezüglich der Auskunft über Bankkonten und Bankgeschäfte vom Landesgericht für Strafsachen Wien am 28. Dezem- ber 2011 bewilligt und bis am 1. Februar 2012 befristet wurde. Das Rechts-</w:t>
      </w:r>
    </w:p>
    <w:p>
      <w:r>
        <w:t>hilfeersuchen vom 29. Dezember 2012 an die Schweiz ist innert der bewil- ligten Frist gestellt worden (RR.2012.140-143 act. 13.1). Ob nach diesem Datum in der Schweiz durch schweizerische Behörden erhobene Beweis- mittel nach österreichischem Recht verwertbar sind bzw. ob der Entscheid des Landgerichts Wien überhaupt formgültig abgefasst worden ist – was die Beschwerdeführer bezweifeln (act. 12 S. 13) –, wird von den österrei- chischen Strafbehörden beurteilt werden müssen. Der ersuchende Staat ist verpflichtet, soweit wie möglich Rechtshilfe zu leisten, wenn er von einer Vertragspartei darum ersucht wird (Art. 1 EUeR; ZIMMERMANN, a.a.O., N 19, S. 18). Er hat daher das Rechtshilfeersuchen auszuführen, es sei denn, der ersuchende Staat hätte zwischenzeitlich den Rückzug des Ersuchens mit- geteilt (vgl. Urteil des Bundesgerichts 1A.218/2003 vom 17. Dezem- ber 2003, E. 3.5; Entscheid des Bundesstrafgerichts RR.2009.200 vom</w:t>
      </w:r>
    </w:p>
    <w:p>
      <w:r>
        <w:rPr>
          <w:b/>
        </w:rPr>
        <w:t>E. 9</w:t>
      </w:r>
    </w:p>
    <w:p>
      <w:r>
        <w:t>Bei diesem Ausgang des Verfahrens werden die Beschwerdeführer kos- tenpflichtig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und den Beschwerdeführern unter solidarischer Haftung aufzuerlegen, unter Anrechnung des im Verfahren RR.2012.140- 143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